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3A" w:rsidRPr="00260A3A" w:rsidRDefault="00B34AC7" w:rsidP="00260A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34A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0E2DA4" wp14:editId="51F9A2D3">
                  <wp:simplePos x="0" y="0"/>
                  <wp:positionH relativeFrom="margin">
                    <wp:posOffset>5481955</wp:posOffset>
                  </wp:positionH>
                  <wp:positionV relativeFrom="paragraph">
                    <wp:posOffset>-659130</wp:posOffset>
                  </wp:positionV>
                  <wp:extent cx="1136015" cy="684530"/>
                  <wp:effectExtent l="0" t="0" r="6985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C7" w:rsidRPr="00B34AC7" w:rsidRDefault="00A722C9" w:rsidP="00B34A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درس </w:t>
            </w:r>
            <w:r w:rsidR="00875D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قبول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الآخر</w:t>
            </w:r>
          </w:p>
          <w:p w:rsidR="00B34AC7" w:rsidRPr="00B34AC7" w:rsidRDefault="00B34AC7" w:rsidP="00A722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الصف </w:t>
            </w:r>
            <w:r w:rsidR="00A722C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السابع </w:t>
            </w: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الأساسي </w:t>
            </w:r>
            <w:proofErr w:type="gramStart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( أ</w:t>
            </w:r>
            <w:proofErr w:type="gramEnd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+ ب )</w:t>
            </w:r>
          </w:p>
          <w:p w:rsidR="00B34AC7" w:rsidRPr="00B34AC7" w:rsidRDefault="00B34AC7" w:rsidP="00B34A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60A3A" w:rsidRPr="00260A3A" w:rsidRDefault="005A7995" w:rsidP="005A799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A799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667B583" wp14:editId="23AB0ECD">
                  <wp:extent cx="2827020" cy="1536622"/>
                  <wp:effectExtent l="0" t="0" r="0" b="698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273" cy="156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0A3A" w:rsidRPr="00260A3A" w:rsidRDefault="00191487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من هو الآخر</w:t>
            </w:r>
            <w:r w:rsidR="00875D66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؟</w:t>
            </w:r>
          </w:p>
          <w:p w:rsid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260A3A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  <w:lang w:bidi="ar-JO"/>
              </w:rPr>
              <w:t>الآخر:</w:t>
            </w: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كلّ من يختلف عنك</w:t>
            </w:r>
            <w:r w:rsidR="00813C8C">
              <w:rPr>
                <w:rFonts w:ascii="Aljazeera" w:eastAsia="Times New Roman" w:hAnsi="Aljazeera" w:cs="Times New Roman"/>
                <w:color w:val="000000"/>
                <w:sz w:val="32"/>
                <w:szCs w:val="32"/>
                <w:lang w:bidi="ar-JO"/>
              </w:rPr>
              <w:t xml:space="preserve"> </w:t>
            </w:r>
            <w:r w:rsidR="00813C8C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سواء</w:t>
            </w: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في الدين أو الجنس أو العرق أو اللغة أو المعتقد.</w:t>
            </w:r>
          </w:p>
          <w:p w:rsidR="00875D66" w:rsidRDefault="00875D66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يمر البشر بأحداث متشابهة مثل: </w:t>
            </w:r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 xml:space="preserve">الميلاد، </w:t>
            </w:r>
            <w:proofErr w:type="gramStart"/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و الموت</w:t>
            </w:r>
            <w:proofErr w:type="gramEnd"/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، والفرح والحزن، والفقر والغنى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،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ويشتركون في كثير من القيم الإنسانية: </w:t>
            </w:r>
            <w:r w:rsidRPr="006A746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الكرامة الإنسانية والحرية والعدل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، 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ويسعون دائما من اجل تحقيق الأمن والاستقرار وا</w:t>
            </w:r>
            <w:r w:rsidR="006A746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تطور.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B0444C">
              <w:rPr>
                <w:rFonts w:ascii="Aljazeera" w:eastAsia="Times New Roman" w:hAnsi="Aljazeera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فإذا عرفت الآخر فإنك ستأخذ منه ويأخذ منك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. لذلك خلقنا الله مختلفين لنحتاج لبعضنا البعض.</w:t>
            </w:r>
          </w:p>
          <w:p w:rsidR="00875D66" w:rsidRDefault="00875D66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191487" w:rsidRPr="00B0444C" w:rsidRDefault="00B0444C" w:rsidP="0019148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وليتحقق قبول الآخر لابد من اتباع أ</w:t>
            </w:r>
            <w:r w:rsidR="00191487" w:rsidRPr="00B0444C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سس قبول الآخر: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السماع منهم ومحاورتهم.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العيش بسلام.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احترام الأديان والمعتقدات.</w:t>
            </w:r>
          </w:p>
          <w:p w:rsidR="005A7995" w:rsidRPr="005A7995" w:rsidRDefault="005A7995" w:rsidP="005A7995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الاحترام المتبادل</w:t>
            </w:r>
          </w:p>
          <w:p w:rsidR="00B0444C" w:rsidRPr="005A7995" w:rsidRDefault="00191487" w:rsidP="005A7995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A7995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عدم الالتفات إلى اللون أو الشكل أو الجنس أو العرق أو غيرها.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191487" w:rsidRPr="00B0444C" w:rsidRDefault="00191487" w:rsidP="00B0444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</w:pPr>
            <w:r w:rsidRPr="00B0444C">
              <w:rPr>
                <w:rFonts w:ascii="Aljazeera" w:eastAsia="Times New Roman" w:hAnsi="Aljazeera" w:cs="Times New Roman"/>
                <w:b/>
                <w:bCs/>
                <w:sz w:val="32"/>
                <w:szCs w:val="32"/>
                <w:rtl/>
                <w:lang w:bidi="ar-JO"/>
              </w:rPr>
              <w:t>من صفات الإنسان المتسامح</w:t>
            </w:r>
            <w:r w:rsidR="00067D40">
              <w:rPr>
                <w:rFonts w:ascii="Aljazeera" w:eastAsia="Times New Roman" w:hAnsi="Aljazeer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والمتقبل للآخرين</w:t>
            </w:r>
            <w:r w:rsidRPr="00B0444C">
              <w:rPr>
                <w:rFonts w:ascii="Aljazeera" w:eastAsia="Times New Roman" w:hAnsi="Aljazeera" w:cs="Times New Roman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191487" w:rsidRPr="00B0444C" w:rsidRDefault="00191487" w:rsidP="00B0444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19148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C97BC0F" wp14:editId="04165B67">
                  <wp:extent cx="5943600" cy="3547745"/>
                  <wp:effectExtent l="0" t="0" r="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191487" w:rsidRDefault="00191487" w:rsidP="00191487">
            <w:pPr>
              <w:bidi/>
              <w:spacing w:after="20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260A3A" w:rsidRPr="00260A3A" w:rsidRDefault="00262823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آثار قبول الآخر على الفرد والمجتمع</w:t>
            </w:r>
            <w:r w:rsidR="00260A3A" w:rsidRPr="00260A3A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مقارنة بين مجتمعٍ يتسم أفراده بالتسامح وقبول الآخر، ومجتمعٌ يتسم أفراده بالتعصب وعدم قبول الآخر: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17365D"/>
                <w:left w:val="single" w:sz="8" w:space="0" w:color="17365D"/>
                <w:bottom w:val="single" w:sz="8" w:space="0" w:color="17365D"/>
                <w:right w:val="single" w:sz="8" w:space="0" w:color="17365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5"/>
              <w:gridCol w:w="4625"/>
            </w:tblGrid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single" w:sz="8" w:space="0" w:color="17365D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B8CCE4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مجتمع متسامح</w:t>
                  </w:r>
                  <w:r w:rsidR="00257E34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 xml:space="preserve"> متقبل للآخر</w:t>
                  </w:r>
                </w:p>
              </w:tc>
              <w:tc>
                <w:tcPr>
                  <w:tcW w:w="4788" w:type="dxa"/>
                  <w:tcBorders>
                    <w:top w:val="single" w:sz="8" w:space="0" w:color="17365D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B8CCE4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مجتمع متعصب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يتحقق فيه الأمن والاستقرار </w:t>
                  </w:r>
                  <w:r w:rsidR="00677700" w:rsidRPr="00260A3A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>والطمأنينة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لا يتحقق فيه الأمن والاستقرار </w:t>
                  </w:r>
                  <w:r w:rsidR="00677700" w:rsidRPr="00260A3A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>والطمأنينة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2823" w:rsidP="00262823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 xml:space="preserve">حفظ </w:t>
                  </w:r>
                  <w:r w:rsidR="00260A3A"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حقوق الأفراد والجماعات 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يتم التعدي فيه على الحقوق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يسوده المحبة والإخاء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يسود فيه الحقد والحسد والبغضاء</w:t>
                  </w:r>
                </w:p>
              </w:tc>
            </w:tr>
          </w:tbl>
          <w:p w:rsidR="00260A3A" w:rsidRPr="00260A3A" w:rsidRDefault="00260A3A" w:rsidP="00260A3A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lastRenderedPageBreak/>
              <w:t> 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bookmarkStart w:id="0" w:name="_GoBack"/>
            <w:bookmarkEnd w:id="0"/>
          </w:p>
        </w:tc>
      </w:tr>
    </w:tbl>
    <w:p w:rsidR="001179A1" w:rsidRDefault="00260A3A" w:rsidP="00260A3A">
      <w:pPr>
        <w:bidi/>
      </w:pP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11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6A4"/>
    <w:multiLevelType w:val="multilevel"/>
    <w:tmpl w:val="CB9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F5124"/>
    <w:multiLevelType w:val="multilevel"/>
    <w:tmpl w:val="23BC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A"/>
    <w:rsid w:val="00067D40"/>
    <w:rsid w:val="001179A1"/>
    <w:rsid w:val="00191487"/>
    <w:rsid w:val="001B3E98"/>
    <w:rsid w:val="00257E34"/>
    <w:rsid w:val="00260A3A"/>
    <w:rsid w:val="00262823"/>
    <w:rsid w:val="00434016"/>
    <w:rsid w:val="005934DF"/>
    <w:rsid w:val="005A7995"/>
    <w:rsid w:val="00666CDC"/>
    <w:rsid w:val="00677700"/>
    <w:rsid w:val="006A7460"/>
    <w:rsid w:val="00813C8C"/>
    <w:rsid w:val="00875D66"/>
    <w:rsid w:val="008A1662"/>
    <w:rsid w:val="00A203E2"/>
    <w:rsid w:val="00A722C9"/>
    <w:rsid w:val="00B0444C"/>
    <w:rsid w:val="00B34AC7"/>
    <w:rsid w:val="00B401E3"/>
    <w:rsid w:val="00B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AECD"/>
  <w15:chartTrackingRefBased/>
  <w15:docId w15:val="{443A410D-71CA-4B36-8B37-B7BBA3F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63861E-942C-41B5-BAFC-75A74ADB051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EDFAE22-113A-48DC-8A39-BC686B1DE945}">
      <dgm:prSet phldrT="[Text]"/>
      <dgm:spPr>
        <a:solidFill>
          <a:srgbClr val="FF000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يحب السلام</a:t>
          </a:r>
          <a:endParaRPr lang="en-US" dirty="0">
            <a:solidFill>
              <a:sysClr val="windowText" lastClr="000000"/>
            </a:solidFill>
          </a:endParaRPr>
        </a:p>
      </dgm:t>
    </dgm:pt>
    <dgm:pt modelId="{527B85B4-EA4E-4462-9863-91B744DC2C9B}" type="parTrans" cxnId="{1D632991-A568-483F-8F64-691500144354}">
      <dgm:prSet/>
      <dgm:spPr/>
      <dgm:t>
        <a:bodyPr/>
        <a:lstStyle/>
        <a:p>
          <a:endParaRPr lang="en-US"/>
        </a:p>
      </dgm:t>
    </dgm:pt>
    <dgm:pt modelId="{238C4EEA-84B0-4B5F-8090-FD79020325A3}" type="sibTrans" cxnId="{1D632991-A568-483F-8F64-691500144354}">
      <dgm:prSet/>
      <dgm:spPr/>
      <dgm:t>
        <a:bodyPr/>
        <a:lstStyle/>
        <a:p>
          <a:endParaRPr lang="en-US"/>
        </a:p>
      </dgm:t>
    </dgm:pt>
    <dgm:pt modelId="{87539D0E-8219-412C-BA76-0ECC39B5C5B5}">
      <dgm:prSet phldrT="[Text]"/>
      <dgm:spPr>
        <a:solidFill>
          <a:srgbClr val="92D05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يحافظ على مشاعر الآخرين</a:t>
          </a:r>
          <a:endParaRPr lang="en-US" dirty="0">
            <a:solidFill>
              <a:sysClr val="windowText" lastClr="000000"/>
            </a:solidFill>
          </a:endParaRPr>
        </a:p>
      </dgm:t>
    </dgm:pt>
    <dgm:pt modelId="{A616E8B4-D158-4853-B334-73DEDECFEB66}" type="parTrans" cxnId="{97F82BF8-24D1-4B52-9C6E-458E1E09FE51}">
      <dgm:prSet/>
      <dgm:spPr/>
      <dgm:t>
        <a:bodyPr/>
        <a:lstStyle/>
        <a:p>
          <a:endParaRPr lang="en-US"/>
        </a:p>
      </dgm:t>
    </dgm:pt>
    <dgm:pt modelId="{CF4F0F24-CC7A-4FF1-86AA-9145C0593B07}" type="sibTrans" cxnId="{97F82BF8-24D1-4B52-9C6E-458E1E09FE51}">
      <dgm:prSet/>
      <dgm:spPr/>
      <dgm:t>
        <a:bodyPr/>
        <a:lstStyle/>
        <a:p>
          <a:endParaRPr lang="en-US"/>
        </a:p>
      </dgm:t>
    </dgm:pt>
    <dgm:pt modelId="{B93F58C3-608A-4AD9-A0F4-54EC9DE69972}">
      <dgm:prSet phldrT="[Text]"/>
      <dgm:spPr>
        <a:solidFill>
          <a:srgbClr val="FFC00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ينظر إلى جانب الخير في الآخرين</a:t>
          </a:r>
          <a:endParaRPr lang="en-US" dirty="0">
            <a:solidFill>
              <a:sysClr val="windowText" lastClr="000000"/>
            </a:solidFill>
          </a:endParaRPr>
        </a:p>
      </dgm:t>
    </dgm:pt>
    <dgm:pt modelId="{80196339-168E-4089-84A2-46DC122CC07F}" type="parTrans" cxnId="{D69FFDBB-5DA9-4A07-96B6-69831D1DD327}">
      <dgm:prSet/>
      <dgm:spPr/>
      <dgm:t>
        <a:bodyPr/>
        <a:lstStyle/>
        <a:p>
          <a:endParaRPr lang="en-US"/>
        </a:p>
      </dgm:t>
    </dgm:pt>
    <dgm:pt modelId="{325C15D9-F610-4BF1-AFAD-3971FCB2B438}" type="sibTrans" cxnId="{D69FFDBB-5DA9-4A07-96B6-69831D1DD327}">
      <dgm:prSet/>
      <dgm:spPr/>
      <dgm:t>
        <a:bodyPr/>
        <a:lstStyle/>
        <a:p>
          <a:endParaRPr lang="en-US"/>
        </a:p>
      </dgm:t>
    </dgm:pt>
    <dgm:pt modelId="{5879784C-3467-4ECF-B1F3-FC659282D8E1}">
      <dgm:prSet phldrT="[Text]"/>
      <dgm:spPr>
        <a:solidFill>
          <a:srgbClr val="00B0F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يبتعد عن العنف</a:t>
          </a:r>
          <a:endParaRPr lang="en-US" dirty="0">
            <a:solidFill>
              <a:sysClr val="windowText" lastClr="000000"/>
            </a:solidFill>
          </a:endParaRPr>
        </a:p>
      </dgm:t>
    </dgm:pt>
    <dgm:pt modelId="{949FFC3C-C03F-4537-A201-4FDC252FAE46}" type="parTrans" cxnId="{E812E28D-FF52-49C3-BA01-3F353365A525}">
      <dgm:prSet/>
      <dgm:spPr/>
      <dgm:t>
        <a:bodyPr/>
        <a:lstStyle/>
        <a:p>
          <a:endParaRPr lang="en-US"/>
        </a:p>
      </dgm:t>
    </dgm:pt>
    <dgm:pt modelId="{F6B9969D-506F-4EE2-8D17-300A24CA85D6}" type="sibTrans" cxnId="{E812E28D-FF52-49C3-BA01-3F353365A525}">
      <dgm:prSet/>
      <dgm:spPr/>
      <dgm:t>
        <a:bodyPr/>
        <a:lstStyle/>
        <a:p>
          <a:endParaRPr lang="en-US"/>
        </a:p>
      </dgm:t>
    </dgm:pt>
    <dgm:pt modelId="{C7C67AF3-A1E3-41B7-A040-2DF8EFE56E50}">
      <dgm:prSet phldrT="[Text]"/>
      <dgm:spPr>
        <a:solidFill>
          <a:schemeClr val="accent2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يحترم الفكر الآخر</a:t>
          </a:r>
          <a:endParaRPr lang="en-US" dirty="0">
            <a:solidFill>
              <a:sysClr val="windowText" lastClr="000000"/>
            </a:solidFill>
          </a:endParaRPr>
        </a:p>
      </dgm:t>
    </dgm:pt>
    <dgm:pt modelId="{5D5DFA10-8F77-442D-A448-B6DAD808B3EA}" type="sibTrans" cxnId="{9809EE4A-F3CA-4781-817A-8EF14332B04D}">
      <dgm:prSet/>
      <dgm:spPr/>
      <dgm:t>
        <a:bodyPr/>
        <a:lstStyle/>
        <a:p>
          <a:endParaRPr lang="en-US"/>
        </a:p>
      </dgm:t>
    </dgm:pt>
    <dgm:pt modelId="{0238C7C0-4D64-409B-9E8E-8245C0DE1B39}" type="parTrans" cxnId="{9809EE4A-F3CA-4781-817A-8EF14332B04D}">
      <dgm:prSet/>
      <dgm:spPr/>
      <dgm:t>
        <a:bodyPr/>
        <a:lstStyle/>
        <a:p>
          <a:endParaRPr lang="en-US"/>
        </a:p>
      </dgm:t>
    </dgm:pt>
    <dgm:pt modelId="{04FB73A9-FDC5-47C7-A514-5B11A81EC511}" type="pres">
      <dgm:prSet presAssocID="{6E63861E-942C-41B5-BAFC-75A74ADB051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EE51FB8-2E36-4029-9E04-BE9410F617B9}" type="pres">
      <dgm:prSet presAssocID="{EEDFAE22-113A-48DC-8A39-BC686B1DE94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818F81-10FC-493E-8F27-52D0974EEF3A}" type="pres">
      <dgm:prSet presAssocID="{EEDFAE22-113A-48DC-8A39-BC686B1DE945}" presName="spNode" presStyleCnt="0"/>
      <dgm:spPr/>
    </dgm:pt>
    <dgm:pt modelId="{1B68905C-065B-4B37-BAAF-2CA26B65D057}" type="pres">
      <dgm:prSet presAssocID="{238C4EEA-84B0-4B5F-8090-FD79020325A3}" presName="sibTrans" presStyleLbl="sibTrans1D1" presStyleIdx="0" presStyleCnt="5"/>
      <dgm:spPr/>
      <dgm:t>
        <a:bodyPr/>
        <a:lstStyle/>
        <a:p>
          <a:endParaRPr lang="en-US"/>
        </a:p>
      </dgm:t>
    </dgm:pt>
    <dgm:pt modelId="{50F38E14-1791-40BA-8232-424749EE09CC}" type="pres">
      <dgm:prSet presAssocID="{C7C67AF3-A1E3-41B7-A040-2DF8EFE56E5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0E7F8D-0EE5-4CB6-B843-F2C4219715E1}" type="pres">
      <dgm:prSet presAssocID="{C7C67AF3-A1E3-41B7-A040-2DF8EFE56E50}" presName="spNode" presStyleCnt="0"/>
      <dgm:spPr/>
    </dgm:pt>
    <dgm:pt modelId="{6381B318-0E37-4717-900E-18C92DFB5E82}" type="pres">
      <dgm:prSet presAssocID="{5D5DFA10-8F77-442D-A448-B6DAD808B3EA}" presName="sibTrans" presStyleLbl="sibTrans1D1" presStyleIdx="1" presStyleCnt="5"/>
      <dgm:spPr/>
      <dgm:t>
        <a:bodyPr/>
        <a:lstStyle/>
        <a:p>
          <a:endParaRPr lang="en-US"/>
        </a:p>
      </dgm:t>
    </dgm:pt>
    <dgm:pt modelId="{8EA39166-4FF7-491C-B030-9C8A1BE4C69C}" type="pres">
      <dgm:prSet presAssocID="{87539D0E-8219-412C-BA76-0ECC39B5C5B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322FA0-5D9B-41DE-9874-77044CCCD842}" type="pres">
      <dgm:prSet presAssocID="{87539D0E-8219-412C-BA76-0ECC39B5C5B5}" presName="spNode" presStyleCnt="0"/>
      <dgm:spPr/>
    </dgm:pt>
    <dgm:pt modelId="{DA5E9F8C-B7C2-4402-8598-531AD499B283}" type="pres">
      <dgm:prSet presAssocID="{CF4F0F24-CC7A-4FF1-86AA-9145C0593B07}" presName="sibTrans" presStyleLbl="sibTrans1D1" presStyleIdx="2" presStyleCnt="5"/>
      <dgm:spPr/>
      <dgm:t>
        <a:bodyPr/>
        <a:lstStyle/>
        <a:p>
          <a:endParaRPr lang="en-US"/>
        </a:p>
      </dgm:t>
    </dgm:pt>
    <dgm:pt modelId="{4FED7AB7-E69D-4FC1-919A-EF209F112ABF}" type="pres">
      <dgm:prSet presAssocID="{B93F58C3-608A-4AD9-A0F4-54EC9DE6997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161C73-6E56-4E5B-B634-EAD21AD11D60}" type="pres">
      <dgm:prSet presAssocID="{B93F58C3-608A-4AD9-A0F4-54EC9DE69972}" presName="spNode" presStyleCnt="0"/>
      <dgm:spPr/>
    </dgm:pt>
    <dgm:pt modelId="{AB899C29-4C60-44C3-AA71-8D0BDDA2F41B}" type="pres">
      <dgm:prSet presAssocID="{325C15D9-F610-4BF1-AFAD-3971FCB2B438}" presName="sibTrans" presStyleLbl="sibTrans1D1" presStyleIdx="3" presStyleCnt="5"/>
      <dgm:spPr/>
      <dgm:t>
        <a:bodyPr/>
        <a:lstStyle/>
        <a:p>
          <a:endParaRPr lang="en-US"/>
        </a:p>
      </dgm:t>
    </dgm:pt>
    <dgm:pt modelId="{E5129834-D0B5-4DC4-AA98-2872F6F1B19F}" type="pres">
      <dgm:prSet presAssocID="{5879784C-3467-4ECF-B1F3-FC659282D8E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CA4727-7953-4AC3-820E-1D14464A446E}" type="pres">
      <dgm:prSet presAssocID="{5879784C-3467-4ECF-B1F3-FC659282D8E1}" presName="spNode" presStyleCnt="0"/>
      <dgm:spPr/>
    </dgm:pt>
    <dgm:pt modelId="{17CF6795-AE5E-4B9A-BEA4-487A08AFEF25}" type="pres">
      <dgm:prSet presAssocID="{F6B9969D-506F-4EE2-8D17-300A24CA85D6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41F448F7-A461-4DE4-A189-25B37DD231D7}" type="presOf" srcId="{CF4F0F24-CC7A-4FF1-86AA-9145C0593B07}" destId="{DA5E9F8C-B7C2-4402-8598-531AD499B283}" srcOrd="0" destOrd="0" presId="urn:microsoft.com/office/officeart/2005/8/layout/cycle6"/>
    <dgm:cxn modelId="{8CBA6C22-3C0C-470C-AAD4-81FC7A6716B5}" type="presOf" srcId="{5D5DFA10-8F77-442D-A448-B6DAD808B3EA}" destId="{6381B318-0E37-4717-900E-18C92DFB5E82}" srcOrd="0" destOrd="0" presId="urn:microsoft.com/office/officeart/2005/8/layout/cycle6"/>
    <dgm:cxn modelId="{01B8B671-B8E1-4CD5-8F00-5F5A4DB16EBC}" type="presOf" srcId="{87539D0E-8219-412C-BA76-0ECC39B5C5B5}" destId="{8EA39166-4FF7-491C-B030-9C8A1BE4C69C}" srcOrd="0" destOrd="0" presId="urn:microsoft.com/office/officeart/2005/8/layout/cycle6"/>
    <dgm:cxn modelId="{9809EE4A-F3CA-4781-817A-8EF14332B04D}" srcId="{6E63861E-942C-41B5-BAFC-75A74ADB051A}" destId="{C7C67AF3-A1E3-41B7-A040-2DF8EFE56E50}" srcOrd="1" destOrd="0" parTransId="{0238C7C0-4D64-409B-9E8E-8245C0DE1B39}" sibTransId="{5D5DFA10-8F77-442D-A448-B6DAD808B3EA}"/>
    <dgm:cxn modelId="{65BBFA62-E233-43EC-9553-F181C50A73C1}" type="presOf" srcId="{B93F58C3-608A-4AD9-A0F4-54EC9DE69972}" destId="{4FED7AB7-E69D-4FC1-919A-EF209F112ABF}" srcOrd="0" destOrd="0" presId="urn:microsoft.com/office/officeart/2005/8/layout/cycle6"/>
    <dgm:cxn modelId="{F9FD7E27-6E76-4FDD-AC92-F816207C7CDA}" type="presOf" srcId="{F6B9969D-506F-4EE2-8D17-300A24CA85D6}" destId="{17CF6795-AE5E-4B9A-BEA4-487A08AFEF25}" srcOrd="0" destOrd="0" presId="urn:microsoft.com/office/officeart/2005/8/layout/cycle6"/>
    <dgm:cxn modelId="{1D632991-A568-483F-8F64-691500144354}" srcId="{6E63861E-942C-41B5-BAFC-75A74ADB051A}" destId="{EEDFAE22-113A-48DC-8A39-BC686B1DE945}" srcOrd="0" destOrd="0" parTransId="{527B85B4-EA4E-4462-9863-91B744DC2C9B}" sibTransId="{238C4EEA-84B0-4B5F-8090-FD79020325A3}"/>
    <dgm:cxn modelId="{E812E28D-FF52-49C3-BA01-3F353365A525}" srcId="{6E63861E-942C-41B5-BAFC-75A74ADB051A}" destId="{5879784C-3467-4ECF-B1F3-FC659282D8E1}" srcOrd="4" destOrd="0" parTransId="{949FFC3C-C03F-4537-A201-4FDC252FAE46}" sibTransId="{F6B9969D-506F-4EE2-8D17-300A24CA85D6}"/>
    <dgm:cxn modelId="{020F6AE0-1856-452F-A566-ED429FFDEC3A}" type="presOf" srcId="{325C15D9-F610-4BF1-AFAD-3971FCB2B438}" destId="{AB899C29-4C60-44C3-AA71-8D0BDDA2F41B}" srcOrd="0" destOrd="0" presId="urn:microsoft.com/office/officeart/2005/8/layout/cycle6"/>
    <dgm:cxn modelId="{6E3EF294-1154-4040-B21A-2106E81215DC}" type="presOf" srcId="{6E63861E-942C-41B5-BAFC-75A74ADB051A}" destId="{04FB73A9-FDC5-47C7-A514-5B11A81EC511}" srcOrd="0" destOrd="0" presId="urn:microsoft.com/office/officeart/2005/8/layout/cycle6"/>
    <dgm:cxn modelId="{D69FFDBB-5DA9-4A07-96B6-69831D1DD327}" srcId="{6E63861E-942C-41B5-BAFC-75A74ADB051A}" destId="{B93F58C3-608A-4AD9-A0F4-54EC9DE69972}" srcOrd="3" destOrd="0" parTransId="{80196339-168E-4089-84A2-46DC122CC07F}" sibTransId="{325C15D9-F610-4BF1-AFAD-3971FCB2B438}"/>
    <dgm:cxn modelId="{7E4E2519-9459-474C-8B98-33CC98EF5E47}" type="presOf" srcId="{C7C67AF3-A1E3-41B7-A040-2DF8EFE56E50}" destId="{50F38E14-1791-40BA-8232-424749EE09CC}" srcOrd="0" destOrd="0" presId="urn:microsoft.com/office/officeart/2005/8/layout/cycle6"/>
    <dgm:cxn modelId="{DE35527C-1F1B-4E4D-816E-C9DB9DF26320}" type="presOf" srcId="{EEDFAE22-113A-48DC-8A39-BC686B1DE945}" destId="{5EE51FB8-2E36-4029-9E04-BE9410F617B9}" srcOrd="0" destOrd="0" presId="urn:microsoft.com/office/officeart/2005/8/layout/cycle6"/>
    <dgm:cxn modelId="{97F82BF8-24D1-4B52-9C6E-458E1E09FE51}" srcId="{6E63861E-942C-41B5-BAFC-75A74ADB051A}" destId="{87539D0E-8219-412C-BA76-0ECC39B5C5B5}" srcOrd="2" destOrd="0" parTransId="{A616E8B4-D158-4853-B334-73DEDECFEB66}" sibTransId="{CF4F0F24-CC7A-4FF1-86AA-9145C0593B07}"/>
    <dgm:cxn modelId="{36A7BCB3-09B4-4ED3-AA7C-37B45E3F3015}" type="presOf" srcId="{238C4EEA-84B0-4B5F-8090-FD79020325A3}" destId="{1B68905C-065B-4B37-BAAF-2CA26B65D057}" srcOrd="0" destOrd="0" presId="urn:microsoft.com/office/officeart/2005/8/layout/cycle6"/>
    <dgm:cxn modelId="{323983AF-46D4-4BFB-9F31-150B2F531006}" type="presOf" srcId="{5879784C-3467-4ECF-B1F3-FC659282D8E1}" destId="{E5129834-D0B5-4DC4-AA98-2872F6F1B19F}" srcOrd="0" destOrd="0" presId="urn:microsoft.com/office/officeart/2005/8/layout/cycle6"/>
    <dgm:cxn modelId="{F0C50A75-39AC-41E8-8E0E-D42857B05C99}" type="presParOf" srcId="{04FB73A9-FDC5-47C7-A514-5B11A81EC511}" destId="{5EE51FB8-2E36-4029-9E04-BE9410F617B9}" srcOrd="0" destOrd="0" presId="urn:microsoft.com/office/officeart/2005/8/layout/cycle6"/>
    <dgm:cxn modelId="{67D3235F-147F-4C40-BA18-7082FB18C7A6}" type="presParOf" srcId="{04FB73A9-FDC5-47C7-A514-5B11A81EC511}" destId="{79818F81-10FC-493E-8F27-52D0974EEF3A}" srcOrd="1" destOrd="0" presId="urn:microsoft.com/office/officeart/2005/8/layout/cycle6"/>
    <dgm:cxn modelId="{26D44905-D1AE-4028-A90A-B17E295F2D90}" type="presParOf" srcId="{04FB73A9-FDC5-47C7-A514-5B11A81EC511}" destId="{1B68905C-065B-4B37-BAAF-2CA26B65D057}" srcOrd="2" destOrd="0" presId="urn:microsoft.com/office/officeart/2005/8/layout/cycle6"/>
    <dgm:cxn modelId="{120A473D-2E5A-4086-B5CE-DC484A6AB009}" type="presParOf" srcId="{04FB73A9-FDC5-47C7-A514-5B11A81EC511}" destId="{50F38E14-1791-40BA-8232-424749EE09CC}" srcOrd="3" destOrd="0" presId="urn:microsoft.com/office/officeart/2005/8/layout/cycle6"/>
    <dgm:cxn modelId="{5E38CFDB-67CF-4D5E-A5EF-31CD1B115020}" type="presParOf" srcId="{04FB73A9-FDC5-47C7-A514-5B11A81EC511}" destId="{7E0E7F8D-0EE5-4CB6-B843-F2C4219715E1}" srcOrd="4" destOrd="0" presId="urn:microsoft.com/office/officeart/2005/8/layout/cycle6"/>
    <dgm:cxn modelId="{64741F74-915C-4DDF-9F13-63322279640A}" type="presParOf" srcId="{04FB73A9-FDC5-47C7-A514-5B11A81EC511}" destId="{6381B318-0E37-4717-900E-18C92DFB5E82}" srcOrd="5" destOrd="0" presId="urn:microsoft.com/office/officeart/2005/8/layout/cycle6"/>
    <dgm:cxn modelId="{7C07A937-8DE0-4D9E-AB03-ACFBD9D491A7}" type="presParOf" srcId="{04FB73A9-FDC5-47C7-A514-5B11A81EC511}" destId="{8EA39166-4FF7-491C-B030-9C8A1BE4C69C}" srcOrd="6" destOrd="0" presId="urn:microsoft.com/office/officeart/2005/8/layout/cycle6"/>
    <dgm:cxn modelId="{54405DFB-3860-470D-9F3E-5F930E1FAECD}" type="presParOf" srcId="{04FB73A9-FDC5-47C7-A514-5B11A81EC511}" destId="{38322FA0-5D9B-41DE-9874-77044CCCD842}" srcOrd="7" destOrd="0" presId="urn:microsoft.com/office/officeart/2005/8/layout/cycle6"/>
    <dgm:cxn modelId="{4A2627FD-F3C0-4154-9C84-9721F11C60A8}" type="presParOf" srcId="{04FB73A9-FDC5-47C7-A514-5B11A81EC511}" destId="{DA5E9F8C-B7C2-4402-8598-531AD499B283}" srcOrd="8" destOrd="0" presId="urn:microsoft.com/office/officeart/2005/8/layout/cycle6"/>
    <dgm:cxn modelId="{88C0B182-34B2-4FDD-B997-3DC020F28582}" type="presParOf" srcId="{04FB73A9-FDC5-47C7-A514-5B11A81EC511}" destId="{4FED7AB7-E69D-4FC1-919A-EF209F112ABF}" srcOrd="9" destOrd="0" presId="urn:microsoft.com/office/officeart/2005/8/layout/cycle6"/>
    <dgm:cxn modelId="{1C90623C-D76A-49A7-A1AE-FBEEDDE22565}" type="presParOf" srcId="{04FB73A9-FDC5-47C7-A514-5B11A81EC511}" destId="{18161C73-6E56-4E5B-B634-EAD21AD11D60}" srcOrd="10" destOrd="0" presId="urn:microsoft.com/office/officeart/2005/8/layout/cycle6"/>
    <dgm:cxn modelId="{8ED2C9E3-697E-4F6E-929C-8F1F3AC652BB}" type="presParOf" srcId="{04FB73A9-FDC5-47C7-A514-5B11A81EC511}" destId="{AB899C29-4C60-44C3-AA71-8D0BDDA2F41B}" srcOrd="11" destOrd="0" presId="urn:microsoft.com/office/officeart/2005/8/layout/cycle6"/>
    <dgm:cxn modelId="{0CC1C1B5-1A5B-4227-97F3-8D981D0D0E7C}" type="presParOf" srcId="{04FB73A9-FDC5-47C7-A514-5B11A81EC511}" destId="{E5129834-D0B5-4DC4-AA98-2872F6F1B19F}" srcOrd="12" destOrd="0" presId="urn:microsoft.com/office/officeart/2005/8/layout/cycle6"/>
    <dgm:cxn modelId="{344153B7-D9B1-429B-A09E-03585A41AEE8}" type="presParOf" srcId="{04FB73A9-FDC5-47C7-A514-5B11A81EC511}" destId="{48CA4727-7953-4AC3-820E-1D14464A446E}" srcOrd="13" destOrd="0" presId="urn:microsoft.com/office/officeart/2005/8/layout/cycle6"/>
    <dgm:cxn modelId="{EEC99941-558B-4940-8667-2EA9A5607C72}" type="presParOf" srcId="{04FB73A9-FDC5-47C7-A514-5B11A81EC511}" destId="{17CF6795-AE5E-4B9A-BEA4-487A08AFEF2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E51FB8-2E36-4029-9E04-BE9410F617B9}">
      <dsp:nvSpPr>
        <dsp:cNvPr id="0" name=""/>
        <dsp:cNvSpPr/>
      </dsp:nvSpPr>
      <dsp:spPr>
        <a:xfrm>
          <a:off x="2388468" y="334"/>
          <a:ext cx="1166663" cy="758331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يحب السلام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2425487" y="37353"/>
        <a:ext cx="1092625" cy="684293"/>
      </dsp:txXfrm>
    </dsp:sp>
    <dsp:sp modelId="{1B68905C-065B-4B37-BAAF-2CA26B65D057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105288" y="120259"/>
              </a:moveTo>
              <a:arcTo wR="1513955" hR="1513955" stAng="17579464" swAng="195970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38E14-1791-40BA-8232-424749EE09CC}">
      <dsp:nvSpPr>
        <dsp:cNvPr id="0" name=""/>
        <dsp:cNvSpPr/>
      </dsp:nvSpPr>
      <dsp:spPr>
        <a:xfrm>
          <a:off x="3828325" y="1046451"/>
          <a:ext cx="1166663" cy="758331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يحترم الفكر الآخر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3865344" y="1083470"/>
        <a:ext cx="1092625" cy="684293"/>
      </dsp:txXfrm>
    </dsp:sp>
    <dsp:sp modelId="{6381B318-0E37-4717-900E-18C92DFB5E82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3025848" y="1434955"/>
              </a:moveTo>
              <a:arcTo wR="1513955" hR="1513955" stAng="21420531" swAng="21948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39166-4FF7-491C-B030-9C8A1BE4C69C}">
      <dsp:nvSpPr>
        <dsp:cNvPr id="0" name=""/>
        <dsp:cNvSpPr/>
      </dsp:nvSpPr>
      <dsp:spPr>
        <a:xfrm>
          <a:off x="3278349" y="2739105"/>
          <a:ext cx="1166663" cy="758331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يحافظ على مشاعر الآخرين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3315368" y="2776124"/>
        <a:ext cx="1092625" cy="684293"/>
      </dsp:txXfrm>
    </dsp:sp>
    <dsp:sp modelId="{DA5E9F8C-B7C2-4402-8598-531AD499B283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1814498" y="2997780"/>
              </a:moveTo>
              <a:arcTo wR="1513955" hR="1513955" stAng="4712993" swAng="137401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D7AB7-E69D-4FC1-919A-EF209F112ABF}">
      <dsp:nvSpPr>
        <dsp:cNvPr id="0" name=""/>
        <dsp:cNvSpPr/>
      </dsp:nvSpPr>
      <dsp:spPr>
        <a:xfrm>
          <a:off x="1498587" y="2739105"/>
          <a:ext cx="1166663" cy="758331"/>
        </a:xfrm>
        <a:prstGeom prst="round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ينظر إلى جانب الخير في الآخرين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1535606" y="2776124"/>
        <a:ext cx="1092625" cy="684293"/>
      </dsp:txXfrm>
    </dsp:sp>
    <dsp:sp modelId="{AB899C29-4C60-44C3-AA71-8D0BDDA2F41B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52809" y="2351554"/>
              </a:moveTo>
              <a:arcTo wR="1513955" hR="1513955" stAng="8784578" swAng="21948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29834-D0B5-4DC4-AA98-2872F6F1B19F}">
      <dsp:nvSpPr>
        <dsp:cNvPr id="0" name=""/>
        <dsp:cNvSpPr/>
      </dsp:nvSpPr>
      <dsp:spPr>
        <a:xfrm>
          <a:off x="948610" y="1046451"/>
          <a:ext cx="1166663" cy="758331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يبتعد عن العنف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985629" y="1083470"/>
        <a:ext cx="1092625" cy="684293"/>
      </dsp:txXfrm>
    </dsp:sp>
    <dsp:sp modelId="{17CF6795-AE5E-4B9A-BEA4-487A08AFEF25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63983" y="659771"/>
              </a:moveTo>
              <a:arcTo wR="1513955" hR="1513955" stAng="12860835" swAng="195970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20</cp:revision>
  <dcterms:created xsi:type="dcterms:W3CDTF">2021-01-29T18:23:00Z</dcterms:created>
  <dcterms:modified xsi:type="dcterms:W3CDTF">2023-05-21T17:47:00Z</dcterms:modified>
</cp:coreProperties>
</file>