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21FA2DCE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BF63A9" w:rsidRPr="00BF63A9">
        <w:rPr>
          <w:highlight w:val="yellow"/>
        </w:rPr>
        <w:t>19</w:t>
      </w:r>
      <w:r w:rsidR="008A68D3">
        <w:t>……</w:t>
      </w:r>
      <w:proofErr w:type="gramStart"/>
      <w:r w:rsidR="008A68D3">
        <w:t>…./</w:t>
      </w:r>
      <w:proofErr w:type="gramEnd"/>
      <w:r w:rsidR="008A68D3">
        <w:t>20</w:t>
      </w:r>
      <w:r w:rsidR="00BF63A9">
        <w:t xml:space="preserve"> </w:t>
      </w:r>
      <w:r w:rsidR="00BF63A9" w:rsidRPr="00BF63A9">
        <w:rPr>
          <w:highlight w:val="yellow"/>
        </w:rPr>
        <w:t>(The deduction is for being late)</w:t>
      </w:r>
      <w:bookmarkStart w:id="0" w:name="_GoBack"/>
      <w:bookmarkEnd w:id="0"/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 xml:space="preserve">Use of a </w:t>
            </w:r>
            <w:r w:rsidR="00C178A5" w:rsidRPr="00C04915">
              <w:rPr>
                <w:highlight w:val="yellow"/>
              </w:rPr>
              <w:t>great</w:t>
            </w:r>
            <w:r w:rsidRPr="00C04915">
              <w:rPr>
                <w:highlight w:val="yellow"/>
              </w:rPr>
              <w:t xml:space="preserve"> variety of both</w:t>
            </w:r>
            <w:r w:rsidR="00C178A5" w:rsidRPr="00C04915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149FBE8C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C04915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22CCFDC8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E0492"/>
    <w:rsid w:val="002B07C2"/>
    <w:rsid w:val="002E00F4"/>
    <w:rsid w:val="00832279"/>
    <w:rsid w:val="008A68D3"/>
    <w:rsid w:val="00A84D96"/>
    <w:rsid w:val="00AD61CE"/>
    <w:rsid w:val="00BF63A9"/>
    <w:rsid w:val="00C04915"/>
    <w:rsid w:val="00C178A5"/>
    <w:rsid w:val="00C82A13"/>
    <w:rsid w:val="00E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10</cp:revision>
  <dcterms:created xsi:type="dcterms:W3CDTF">2022-10-03T07:37:00Z</dcterms:created>
  <dcterms:modified xsi:type="dcterms:W3CDTF">2022-11-03T05:57:00Z</dcterms:modified>
</cp:coreProperties>
</file>