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7D457" w14:textId="2A247E4E" w:rsidR="00A84D96" w:rsidRPr="00A84D96" w:rsidRDefault="002E00F4" w:rsidP="00A84D96">
      <w:pPr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50E4EE6" wp14:editId="2A9FC88F">
            <wp:simplePos x="0" y="0"/>
            <wp:positionH relativeFrom="margin">
              <wp:posOffset>-76200</wp:posOffset>
            </wp:positionH>
            <wp:positionV relativeFrom="margin">
              <wp:align>top</wp:align>
            </wp:positionV>
            <wp:extent cx="847725" cy="582295"/>
            <wp:effectExtent l="0" t="0" r="9525" b="8255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D96">
        <w:rPr>
          <w:sz w:val="28"/>
          <w:szCs w:val="28"/>
        </w:rPr>
        <w:t>Gl</w:t>
      </w:r>
      <w:r w:rsidR="00A84D96" w:rsidRPr="00A84D96">
        <w:rPr>
          <w:sz w:val="28"/>
          <w:szCs w:val="28"/>
        </w:rPr>
        <w:t>obal Perspectives Rubric</w:t>
      </w:r>
    </w:p>
    <w:p w14:paraId="1E99EE44" w14:textId="0BA2A4E2" w:rsidR="00A84D96" w:rsidRPr="00A84D96" w:rsidRDefault="00A84D96" w:rsidP="00A84D96">
      <w:pPr>
        <w:spacing w:after="0" w:line="240" w:lineRule="auto"/>
        <w:jc w:val="center"/>
        <w:rPr>
          <w:sz w:val="28"/>
          <w:szCs w:val="28"/>
        </w:rPr>
      </w:pPr>
      <w:r w:rsidRPr="00A84D96">
        <w:rPr>
          <w:sz w:val="28"/>
          <w:szCs w:val="28"/>
        </w:rPr>
        <w:t xml:space="preserve">Grade </w:t>
      </w:r>
      <w:r>
        <w:rPr>
          <w:sz w:val="28"/>
          <w:szCs w:val="28"/>
        </w:rPr>
        <w:t>Seven</w:t>
      </w:r>
    </w:p>
    <w:p w14:paraId="12566652" w14:textId="1AF23010" w:rsidR="00A84D96" w:rsidRPr="00A84D96" w:rsidRDefault="00A84D96" w:rsidP="00A84D96">
      <w:pPr>
        <w:spacing w:after="0" w:line="240" w:lineRule="auto"/>
        <w:jc w:val="center"/>
        <w:rPr>
          <w:sz w:val="28"/>
          <w:szCs w:val="28"/>
        </w:rPr>
      </w:pPr>
      <w:r w:rsidRPr="00A84D96">
        <w:rPr>
          <w:sz w:val="28"/>
          <w:szCs w:val="28"/>
        </w:rPr>
        <w:t>Research Task</w:t>
      </w:r>
      <w:r>
        <w:rPr>
          <w:sz w:val="28"/>
          <w:szCs w:val="28"/>
        </w:rPr>
        <w:t xml:space="preserve"> (1) Finding Numbers</w:t>
      </w:r>
    </w:p>
    <w:p w14:paraId="17A0136F" w14:textId="77777777" w:rsidR="00A84D96" w:rsidRPr="00A84D96" w:rsidRDefault="00A84D96" w:rsidP="00A84D96">
      <w:pPr>
        <w:spacing w:after="0" w:line="240" w:lineRule="auto"/>
      </w:pPr>
    </w:p>
    <w:p w14:paraId="7285B1B1" w14:textId="2FE569B4" w:rsidR="00A84D96" w:rsidRDefault="002E00F4" w:rsidP="00A84D96">
      <w:r>
        <w:rPr>
          <w:noProof/>
        </w:rPr>
        <w:drawing>
          <wp:anchor distT="0" distB="0" distL="114300" distR="114300" simplePos="0" relativeHeight="251665408" behindDoc="0" locked="0" layoutInCell="1" allowOverlap="1" wp14:anchorId="2E97A8DD" wp14:editId="59B27B0F">
            <wp:simplePos x="0" y="0"/>
            <wp:positionH relativeFrom="margin">
              <wp:align>right</wp:align>
            </wp:positionH>
            <wp:positionV relativeFrom="paragraph">
              <wp:posOffset>6805930</wp:posOffset>
            </wp:positionV>
            <wp:extent cx="5204460" cy="3594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39"/>
                    <a:stretch/>
                  </pic:blipFill>
                  <pic:spPr bwMode="auto">
                    <a:xfrm>
                      <a:off x="0" y="0"/>
                      <a:ext cx="5204460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D96" w:rsidRPr="00A84D96">
        <w:t>Name: -------------------------------------</w:t>
      </w:r>
      <w:r w:rsidR="008A68D3">
        <w:t xml:space="preserve">              </w:t>
      </w:r>
      <w:r>
        <w:t xml:space="preserve">                                    Section:    ---------------</w:t>
      </w:r>
      <w:r w:rsidR="008A68D3">
        <w:t xml:space="preserve">                                          </w:t>
      </w:r>
      <w:r>
        <w:t xml:space="preserve">   </w:t>
      </w:r>
      <w:r w:rsidR="008A68D3">
        <w:t>Total Mark ……</w:t>
      </w:r>
      <w:r w:rsidR="002B07C2" w:rsidRPr="002B07C2">
        <w:rPr>
          <w:highlight w:val="yellow"/>
        </w:rPr>
        <w:t>18</w:t>
      </w:r>
      <w:r w:rsidR="008A68D3">
        <w:t>……</w:t>
      </w:r>
      <w:proofErr w:type="gramStart"/>
      <w:r w:rsidR="008A68D3">
        <w:t>…./</w:t>
      </w:r>
      <w:proofErr w:type="gramEnd"/>
      <w:r w:rsidR="008A68D3">
        <w:t>20</w:t>
      </w:r>
      <w:bookmarkStart w:id="0" w:name="_GoBack"/>
      <w:bookmarkEnd w:id="0"/>
    </w:p>
    <w:tbl>
      <w:tblPr>
        <w:tblStyle w:val="TableGrid"/>
        <w:tblW w:w="9517" w:type="dxa"/>
        <w:tblLook w:val="04A0" w:firstRow="1" w:lastRow="0" w:firstColumn="1" w:lastColumn="0" w:noHBand="0" w:noVBand="1"/>
      </w:tblPr>
      <w:tblGrid>
        <w:gridCol w:w="2174"/>
        <w:gridCol w:w="2634"/>
        <w:gridCol w:w="2407"/>
        <w:gridCol w:w="2302"/>
      </w:tblGrid>
      <w:tr w:rsidR="00A84D96" w14:paraId="567AB4E4" w14:textId="77777777" w:rsidTr="008A68D3">
        <w:trPr>
          <w:trHeight w:val="275"/>
        </w:trPr>
        <w:tc>
          <w:tcPr>
            <w:tcW w:w="2174" w:type="dxa"/>
          </w:tcPr>
          <w:p w14:paraId="2D335AE7" w14:textId="6C76A087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Category</w:t>
            </w:r>
          </w:p>
        </w:tc>
        <w:tc>
          <w:tcPr>
            <w:tcW w:w="2634" w:type="dxa"/>
          </w:tcPr>
          <w:p w14:paraId="263325DD" w14:textId="1003942E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4 Excellent</w:t>
            </w:r>
          </w:p>
        </w:tc>
        <w:tc>
          <w:tcPr>
            <w:tcW w:w="2407" w:type="dxa"/>
          </w:tcPr>
          <w:p w14:paraId="13404FE0" w14:textId="445B97BD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3 Good</w:t>
            </w:r>
          </w:p>
        </w:tc>
        <w:tc>
          <w:tcPr>
            <w:tcW w:w="2302" w:type="dxa"/>
          </w:tcPr>
          <w:p w14:paraId="25450DE2" w14:textId="72C93509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2 Fair</w:t>
            </w:r>
          </w:p>
        </w:tc>
      </w:tr>
      <w:tr w:rsidR="00A84D96" w14:paraId="1B075CF6" w14:textId="77777777" w:rsidTr="008A68D3">
        <w:trPr>
          <w:trHeight w:val="1087"/>
        </w:trPr>
        <w:tc>
          <w:tcPr>
            <w:tcW w:w="2174" w:type="dxa"/>
          </w:tcPr>
          <w:p w14:paraId="3C7A7E79" w14:textId="2D637D90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Questionnaire tool management</w:t>
            </w:r>
          </w:p>
        </w:tc>
        <w:tc>
          <w:tcPr>
            <w:tcW w:w="2634" w:type="dxa"/>
          </w:tcPr>
          <w:p w14:paraId="4252B429" w14:textId="1209BE96" w:rsidR="00A84D96" w:rsidRDefault="00A84D96" w:rsidP="008A68D3">
            <w:pPr>
              <w:jc w:val="center"/>
            </w:pPr>
            <w:r w:rsidRPr="002B07C2">
              <w:rPr>
                <w:highlight w:val="yellow"/>
              </w:rPr>
              <w:t>The questionnaire is presented using an online tool, easy to access and answer.</w:t>
            </w:r>
          </w:p>
        </w:tc>
        <w:tc>
          <w:tcPr>
            <w:tcW w:w="2407" w:type="dxa"/>
          </w:tcPr>
          <w:p w14:paraId="79D65851" w14:textId="5BF12687" w:rsidR="00A84D96" w:rsidRDefault="00A84D96" w:rsidP="008A68D3">
            <w:pPr>
              <w:jc w:val="center"/>
            </w:pPr>
            <w:r>
              <w:t>The online questionnaire is quite easy to access and answer</w:t>
            </w:r>
          </w:p>
        </w:tc>
        <w:tc>
          <w:tcPr>
            <w:tcW w:w="2302" w:type="dxa"/>
          </w:tcPr>
          <w:p w14:paraId="2F0709F2" w14:textId="18FEB8A0" w:rsidR="00A84D96" w:rsidRDefault="00A84D96" w:rsidP="008A68D3">
            <w:pPr>
              <w:jc w:val="center"/>
            </w:pPr>
            <w:r>
              <w:t>Students need some guidance on how to present the questionnaire.</w:t>
            </w:r>
          </w:p>
        </w:tc>
      </w:tr>
      <w:tr w:rsidR="00A84D96" w14:paraId="7037D150" w14:textId="77777777" w:rsidTr="008A68D3">
        <w:trPr>
          <w:trHeight w:val="1915"/>
        </w:trPr>
        <w:tc>
          <w:tcPr>
            <w:tcW w:w="2174" w:type="dxa"/>
          </w:tcPr>
          <w:p w14:paraId="048607C9" w14:textId="0E292D86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Question types</w:t>
            </w:r>
          </w:p>
        </w:tc>
        <w:tc>
          <w:tcPr>
            <w:tcW w:w="2634" w:type="dxa"/>
          </w:tcPr>
          <w:p w14:paraId="24E56943" w14:textId="4B0821D5" w:rsidR="00A84D96" w:rsidRDefault="00A84D96" w:rsidP="008A68D3">
            <w:pPr>
              <w:jc w:val="center"/>
            </w:pPr>
            <w:r>
              <w:t xml:space="preserve">Use of a </w:t>
            </w:r>
            <w:r w:rsidR="00C178A5">
              <w:t>great</w:t>
            </w:r>
            <w:r>
              <w:t xml:space="preserve"> variety of both</w:t>
            </w:r>
            <w:r w:rsidR="00C178A5">
              <w:t>, open and closed questions. When necessary, students always provide right choices for open questions.</w:t>
            </w:r>
          </w:p>
        </w:tc>
        <w:tc>
          <w:tcPr>
            <w:tcW w:w="2407" w:type="dxa"/>
          </w:tcPr>
          <w:p w14:paraId="1003EE82" w14:textId="16E9F971" w:rsidR="00A84D96" w:rsidRDefault="00C178A5" w:rsidP="008A68D3">
            <w:pPr>
              <w:jc w:val="center"/>
            </w:pPr>
            <w:r w:rsidRPr="002B07C2">
              <w:rPr>
                <w:highlight w:val="yellow"/>
              </w:rPr>
              <w:t>There is a limited variety of open and closed questions. Students sometimes provide right choices for open questions.</w:t>
            </w:r>
          </w:p>
        </w:tc>
        <w:tc>
          <w:tcPr>
            <w:tcW w:w="2302" w:type="dxa"/>
          </w:tcPr>
          <w:p w14:paraId="01E1A96D" w14:textId="0F1D522D" w:rsidR="00A84D96" w:rsidRDefault="00C178A5" w:rsidP="008A68D3">
            <w:pPr>
              <w:jc w:val="center"/>
            </w:pPr>
            <w:r>
              <w:t>Poor variety of questions. Some choices provided for open questions are wrong.</w:t>
            </w:r>
          </w:p>
        </w:tc>
      </w:tr>
      <w:tr w:rsidR="00A84D96" w14:paraId="6D3FB1E7" w14:textId="77777777" w:rsidTr="008A68D3">
        <w:trPr>
          <w:trHeight w:val="3003"/>
        </w:trPr>
        <w:tc>
          <w:tcPr>
            <w:tcW w:w="2174" w:type="dxa"/>
          </w:tcPr>
          <w:p w14:paraId="2865E6E5" w14:textId="32E64349" w:rsidR="00A84D96" w:rsidRPr="008A68D3" w:rsidRDefault="00C178A5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Question Content</w:t>
            </w:r>
          </w:p>
        </w:tc>
        <w:tc>
          <w:tcPr>
            <w:tcW w:w="2634" w:type="dxa"/>
          </w:tcPr>
          <w:p w14:paraId="6857AA58" w14:textId="1F401FF5" w:rsidR="00A84D96" w:rsidRDefault="00C178A5" w:rsidP="008A68D3">
            <w:pPr>
              <w:jc w:val="center"/>
            </w:pPr>
            <w:r>
              <w:t>Students always ask questions related to the topics they are learnt about. All questions contents contribute to collecting relevant data for the questionnaire.</w:t>
            </w:r>
          </w:p>
        </w:tc>
        <w:tc>
          <w:tcPr>
            <w:tcW w:w="2407" w:type="dxa"/>
          </w:tcPr>
          <w:p w14:paraId="062ED2EE" w14:textId="26A74E7C" w:rsidR="00A84D96" w:rsidRDefault="00C178A5" w:rsidP="008A68D3">
            <w:pPr>
              <w:jc w:val="center"/>
            </w:pPr>
            <w:r w:rsidRPr="002B07C2">
              <w:rPr>
                <w:highlight w:val="yellow"/>
              </w:rPr>
              <w:t>Students don’t always ask questions related to the topics they have learnt about. Only some questions contents contribute to the collecting data for the questionnaire.</w:t>
            </w:r>
          </w:p>
        </w:tc>
        <w:tc>
          <w:tcPr>
            <w:tcW w:w="2302" w:type="dxa"/>
          </w:tcPr>
          <w:p w14:paraId="4D5EA996" w14:textId="53CC915B" w:rsidR="00A84D96" w:rsidRDefault="00C178A5" w:rsidP="008A68D3">
            <w:pPr>
              <w:jc w:val="center"/>
            </w:pPr>
            <w:r>
              <w:t>Students hardly ever ask questions related to the topics they have learnt about. Only few questions contents contribute to collecting relevant data for the questionnaire.</w:t>
            </w:r>
          </w:p>
        </w:tc>
      </w:tr>
      <w:tr w:rsidR="00A84D96" w14:paraId="0BF250A8" w14:textId="77777777" w:rsidTr="008A68D3">
        <w:trPr>
          <w:trHeight w:val="1915"/>
        </w:trPr>
        <w:tc>
          <w:tcPr>
            <w:tcW w:w="2174" w:type="dxa"/>
          </w:tcPr>
          <w:p w14:paraId="3F98E7C0" w14:textId="149FBE8C" w:rsidR="00A84D96" w:rsidRPr="008A68D3" w:rsidRDefault="00C178A5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Grammar structure</w:t>
            </w:r>
          </w:p>
        </w:tc>
        <w:tc>
          <w:tcPr>
            <w:tcW w:w="2634" w:type="dxa"/>
          </w:tcPr>
          <w:p w14:paraId="67FF7BE7" w14:textId="5C42D4BA" w:rsidR="00A84D96" w:rsidRDefault="00C178A5" w:rsidP="008A68D3">
            <w:pPr>
              <w:jc w:val="center"/>
            </w:pPr>
            <w:r w:rsidRPr="002B07C2">
              <w:rPr>
                <w:highlight w:val="yellow"/>
              </w:rPr>
              <w:t>All questions are well structured and students apply the grammar forms they have been presented in the correct way.</w:t>
            </w:r>
          </w:p>
        </w:tc>
        <w:tc>
          <w:tcPr>
            <w:tcW w:w="2407" w:type="dxa"/>
          </w:tcPr>
          <w:p w14:paraId="4F412DE0" w14:textId="39AD6A51" w:rsidR="00A84D96" w:rsidRDefault="00C178A5" w:rsidP="008A68D3">
            <w:pPr>
              <w:jc w:val="center"/>
            </w:pPr>
            <w:r>
              <w:t>Almost all questions are well structured and students often apply the grammar forms they have been presented in the correct way.</w:t>
            </w:r>
          </w:p>
        </w:tc>
        <w:tc>
          <w:tcPr>
            <w:tcW w:w="2302" w:type="dxa"/>
          </w:tcPr>
          <w:p w14:paraId="1289C5DE" w14:textId="3EBF3A6E" w:rsidR="00A84D96" w:rsidRDefault="008A68D3" w:rsidP="008A68D3">
            <w:pPr>
              <w:jc w:val="center"/>
            </w:pPr>
            <w:r>
              <w:t>Students sometimes apply the grammar structures that they have learnt, but not in a correct way.</w:t>
            </w:r>
          </w:p>
        </w:tc>
      </w:tr>
      <w:tr w:rsidR="008A68D3" w14:paraId="1F2188D5" w14:textId="77777777" w:rsidTr="008A68D3">
        <w:trPr>
          <w:trHeight w:val="275"/>
        </w:trPr>
        <w:tc>
          <w:tcPr>
            <w:tcW w:w="2174" w:type="dxa"/>
          </w:tcPr>
          <w:p w14:paraId="285472E2" w14:textId="74A07D5B" w:rsidR="008A68D3" w:rsidRPr="008A68D3" w:rsidRDefault="008A68D3" w:rsidP="008A68D3">
            <w:pPr>
              <w:jc w:val="center"/>
              <w:rPr>
                <w:b/>
                <w:bCs/>
              </w:rPr>
            </w:pPr>
            <w:r w:rsidRPr="008A68D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Cooperation with Others</w:t>
            </w:r>
          </w:p>
        </w:tc>
        <w:tc>
          <w:tcPr>
            <w:tcW w:w="2634" w:type="dxa"/>
          </w:tcPr>
          <w:p w14:paraId="4AC81A5F" w14:textId="4021862A" w:rsidR="008A68D3" w:rsidRDefault="008A68D3" w:rsidP="008A68D3">
            <w:pPr>
              <w:jc w:val="center"/>
            </w:pPr>
            <w:r w:rsidRPr="002B07C2">
              <w:rPr>
                <w:rFonts w:ascii="Segoe UI" w:hAnsi="Segoe UI" w:cs="Segoe UI"/>
                <w:color w:val="000000"/>
                <w:sz w:val="20"/>
                <w:szCs w:val="20"/>
                <w:highlight w:val="yellow"/>
                <w:shd w:val="clear" w:color="auto" w:fill="FFFFFF"/>
              </w:rPr>
              <w:t>Did more than others–highly productive. Works extremely well with others. Never argues.</w:t>
            </w:r>
          </w:p>
        </w:tc>
        <w:tc>
          <w:tcPr>
            <w:tcW w:w="2407" w:type="dxa"/>
          </w:tcPr>
          <w:p w14:paraId="79A89948" w14:textId="22CCFDC8" w:rsidR="008A68D3" w:rsidRDefault="008A68D3" w:rsidP="008A68D3">
            <w:pPr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Did their part of the work-</w:t>
            </w:r>
            <w:proofErr w:type="gram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cooperative.</w:t>
            </w:r>
            <w:proofErr w:type="gram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Works well with others. Rarely argues.</w:t>
            </w:r>
          </w:p>
        </w:tc>
        <w:tc>
          <w:tcPr>
            <w:tcW w:w="2302" w:type="dxa"/>
          </w:tcPr>
          <w:p w14:paraId="540D5923" w14:textId="64E98A9F" w:rsidR="008A68D3" w:rsidRDefault="008A68D3" w:rsidP="008A68D3">
            <w:pPr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Could have done more of the work–has difficulty. Requires structure, directions, and leadership. Argues sometimes.</w:t>
            </w:r>
          </w:p>
        </w:tc>
      </w:tr>
    </w:tbl>
    <w:p w14:paraId="73165347" w14:textId="1F9C32FC" w:rsidR="00A84D96" w:rsidRPr="00A84D96" w:rsidRDefault="00A84D96" w:rsidP="008A68D3">
      <w:pPr>
        <w:jc w:val="center"/>
      </w:pPr>
    </w:p>
    <w:p w14:paraId="0A86B662" w14:textId="49D6315E" w:rsidR="000E0492" w:rsidRDefault="000E0492" w:rsidP="008A68D3">
      <w:pPr>
        <w:jc w:val="center"/>
      </w:pPr>
    </w:p>
    <w:sectPr w:rsidR="000E0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92"/>
    <w:rsid w:val="000E0492"/>
    <w:rsid w:val="002B07C2"/>
    <w:rsid w:val="002E00F4"/>
    <w:rsid w:val="00832279"/>
    <w:rsid w:val="008A68D3"/>
    <w:rsid w:val="00A84D96"/>
    <w:rsid w:val="00AD61CE"/>
    <w:rsid w:val="00C1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B498E"/>
  <w15:chartTrackingRefBased/>
  <w15:docId w15:val="{40D8438C-FF31-4484-828F-2FF16D84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E.Mitri</cp:lastModifiedBy>
  <cp:revision>6</cp:revision>
  <dcterms:created xsi:type="dcterms:W3CDTF">2022-10-03T07:37:00Z</dcterms:created>
  <dcterms:modified xsi:type="dcterms:W3CDTF">2022-11-03T05:39:00Z</dcterms:modified>
</cp:coreProperties>
</file>