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البرامج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الأجنبية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(9-12)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5442585</wp:posOffset>
            </wp:positionH>
            <wp:positionV relativeFrom="paragraph">
              <wp:posOffset>0</wp:posOffset>
            </wp:positionV>
            <wp:extent cx="1080770" cy="581660"/>
            <wp:effectExtent b="0" l="0" r="0" t="0"/>
            <wp:wrapTopAndBottom distB="0" distT="0"/>
            <wp:docPr descr="NOS-Shmaisani A.png" id="3" name="image3.png"/>
            <a:graphic>
              <a:graphicData uri="http://schemas.openxmlformats.org/drawingml/2006/picture">
                <pic:pic>
                  <pic:nvPicPr>
                    <pic:cNvPr descr="NOS-Shmaisani A.png" id="0" name="image3.png"/>
                    <pic:cNvPicPr preferRelativeResize="0"/>
                  </pic:nvPicPr>
                  <pic:blipFill>
                    <a:blip r:embed="rId6"/>
                    <a:srcRect b="5874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5816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إثرائي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ّ "1"</w:t>
      </w:r>
    </w:p>
    <w:p w:rsidR="00000000" w:rsidDel="00000000" w:rsidP="00000000" w:rsidRDefault="00000000" w:rsidRPr="00000000" w14:paraId="00000003">
      <w:pPr>
        <w:spacing w:after="200" w:line="276" w:lineRule="auto"/>
        <w:jc w:val="right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المبحث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غة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العربي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ة</w:t>
      </w:r>
    </w:p>
    <w:p w:rsidR="00000000" w:rsidDel="00000000" w:rsidP="00000000" w:rsidRDefault="00000000" w:rsidRPr="00000000" w14:paraId="00000004">
      <w:pPr>
        <w:spacing w:after="200" w:line="276" w:lineRule="auto"/>
        <w:jc w:val="right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الصف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اسع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(      )</w:t>
      </w:r>
    </w:p>
    <w:p w:rsidR="00000000" w:rsidDel="00000000" w:rsidP="00000000" w:rsidRDefault="00000000" w:rsidRPr="00000000" w14:paraId="00000005">
      <w:pPr>
        <w:spacing w:after="200" w:line="276" w:lineRule="auto"/>
        <w:jc w:val="right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الطالب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:-------------                         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التاريخ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:------------</w:t>
      </w:r>
    </w:p>
    <w:p w:rsidR="00000000" w:rsidDel="00000000" w:rsidP="00000000" w:rsidRDefault="00000000" w:rsidRPr="00000000" w14:paraId="00000006">
      <w:pPr>
        <w:bidi w:val="1"/>
        <w:spacing w:after="0" w:line="480" w:lineRule="auto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اقرأ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الآتي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أجب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يليه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أسئلة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7">
      <w:pPr>
        <w:bidi w:val="1"/>
        <w:spacing w:after="0" w:line="480" w:lineRule="auto"/>
        <w:jc w:val="center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الجنون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العام</w:t>
      </w:r>
    </w:p>
    <w:p w:rsidR="00000000" w:rsidDel="00000000" w:rsidP="00000000" w:rsidRDefault="00000000" w:rsidRPr="00000000" w14:paraId="00000008">
      <w:pPr>
        <w:bidi w:val="1"/>
        <w:spacing w:after="0" w:line="480" w:lineRule="auto"/>
        <w:jc w:val="right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مصطفى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محمود</w:t>
      </w:r>
    </w:p>
    <w:p w:rsidR="00000000" w:rsidDel="00000000" w:rsidP="00000000" w:rsidRDefault="00000000" w:rsidRPr="00000000" w14:paraId="00000009">
      <w:pPr>
        <w:bidi w:val="1"/>
        <w:spacing w:after="0" w:line="480" w:lineRule="auto"/>
        <w:ind w:firstLine="72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أغرب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عادة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شرب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يصرف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رجل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عاقل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نقوده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إحراق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المخلفات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واستنشاق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دخانها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اسع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الخانق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الكريه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يدخ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ويسعل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ويبصق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يعود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فيبتلع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ويسعل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ويبصق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ويقول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بصوت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أجش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مشروخ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يشكو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برد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مزمن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وإن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استبدل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الإنجليزي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بالد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ركي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!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-264794</wp:posOffset>
            </wp:positionH>
            <wp:positionV relativeFrom="paragraph">
              <wp:posOffset>372745</wp:posOffset>
            </wp:positionV>
            <wp:extent cx="1905000" cy="2447925"/>
            <wp:effectExtent b="0" l="0" r="0" t="0"/>
            <wp:wrapSquare wrapText="bothSides" distB="0" distT="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447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-23296</wp:posOffset>
            </wp:positionH>
            <wp:positionV relativeFrom="paragraph">
              <wp:posOffset>3586043</wp:posOffset>
            </wp:positionV>
            <wp:extent cx="6154420" cy="4286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4420" cy="428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bidi w:val="1"/>
        <w:spacing w:after="0" w:line="480" w:lineRule="auto"/>
        <w:ind w:firstLine="72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ينفث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حلقات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يحملق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الفراغ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وفمه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مفتوح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وضع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ساق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ساق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وسبح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بخياله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حالة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انعدام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وزن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يفك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مشهد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كاريكاتوري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مسرح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معقول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after="0" w:line="480" w:lineRule="auto"/>
        <w:ind w:firstLine="72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قص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بلهاء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خمس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دقائق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تبدأ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بشطة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عود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كبريت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حركات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استعراضي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رجل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عجيب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يأخذ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أوضاع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بهلواني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كرسيه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ويسترخي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ويسرح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ويشفط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وينفخ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ويسعل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ويبصق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ونفهم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القص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يدفع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قوته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وقوت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عياله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سبيل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يعود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فيدفع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أخرى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ليعالج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نفسه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يعود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فيدفع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ثالثة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لينظ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أسنانه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أوساخ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يروي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قرأ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المجلة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تسبب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دخين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رطان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نفس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الص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فحة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قرأ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إعلانات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فوائد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دخين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spacing w:after="0" w:line="480" w:lineRule="auto"/>
        <w:ind w:firstLine="72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فإذا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سألته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وماذا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ستفعل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سأستبدل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لفافة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التبغ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بالس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يجار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يجار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بالش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يشة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الش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يشة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بالجوزة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!</w:t>
      </w:r>
    </w:p>
    <w:p w:rsidR="00000000" w:rsidDel="00000000" w:rsidP="00000000" w:rsidRDefault="00000000" w:rsidRPr="00000000" w14:paraId="0000000D">
      <w:pPr>
        <w:bidi w:val="1"/>
        <w:spacing w:after="0" w:line="480" w:lineRule="auto"/>
        <w:ind w:firstLine="72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وتراه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يصوم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الط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يستطيع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يصوم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يجارة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وتراه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يستمر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الانتحار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الص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يوم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فيلقي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بنقوده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وصح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ويقف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يتفرج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الاثنين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يغرقان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يسعل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ويبصق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ويلهث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رجل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مخبول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تمام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المخبول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ينتحرون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لسبب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مفهوم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</w:t>
      </w:r>
    </w:p>
    <w:p w:rsidR="00000000" w:rsidDel="00000000" w:rsidP="00000000" w:rsidRDefault="00000000" w:rsidRPr="00000000" w14:paraId="0000000E">
      <w:pPr>
        <w:bidi w:val="1"/>
        <w:spacing w:after="0" w:line="480" w:lineRule="auto"/>
        <w:ind w:firstLine="72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العملة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الص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عبة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تنفق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استيراد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التبغ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والسيجار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والمعسل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العالم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كافية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لحل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مشاكل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المجاعة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والفقر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والجهل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والمرض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والإنسان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المجنون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ابتكر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وسائل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انتحار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أخرى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بغ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الأفيون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والحشيش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والكوكايين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والهيرويين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وعقار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الهلوسة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والخمور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بأنواعها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يكتف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فاخترع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أسلحة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القتل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ريع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الأكيد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الرصاصة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والقنبلة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والغاز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السام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after="0" w:line="480" w:lineRule="auto"/>
        <w:ind w:firstLine="72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عاد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فابتكر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الأعذار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والمبررات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الجاهزة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للقتل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الص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راع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الط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بقي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وتغيير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اريخ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وإنقاذ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الحري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والحري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ذاتها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دائم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المخدر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الأكبر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المدخ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أدخ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ومدمن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المخدرات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والذي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يطلق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رصاصة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يطلقها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ليكون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ًّ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ودائم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الحري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جهز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الأسلحة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ودائم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الحري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الض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والإنسان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القاتل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والمقتول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الضحية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والجنون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الحقيقة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طابع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الإنسان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العاقل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اللامعقول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غز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...!! </w:t>
      </w:r>
    </w:p>
    <w:p w:rsidR="00000000" w:rsidDel="00000000" w:rsidP="00000000" w:rsidRDefault="00000000" w:rsidRPr="00000000" w14:paraId="00000010">
      <w:pPr>
        <w:bidi w:val="1"/>
        <w:spacing w:after="0" w:line="480" w:lineRule="auto"/>
        <w:ind w:firstLine="72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line="480" w:lineRule="auto"/>
        <w:ind w:firstLine="72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080" w:right="0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تتجل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خسارة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المدخن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ثلاثة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مواضع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اذكرها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08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1-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العملة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الص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عبة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تنفق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استيراد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التبغ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والسيجار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والمعسل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العالم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كافية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لحل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مشاكل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المجاعة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والفقر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والجهل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والمرض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08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2-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يصوم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الط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عام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يستطيع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يصوم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الس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يجارة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08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3-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يستمر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الانتحار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الص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يوم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فيلقي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بنقوده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وصح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ته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البحر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080" w:right="0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وسائل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الانتحار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ابتكرها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فكانت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سببا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والهلاك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؟ </w:t>
      </w:r>
    </w:p>
    <w:p w:rsidR="00000000" w:rsidDel="00000000" w:rsidP="00000000" w:rsidRDefault="00000000" w:rsidRPr="00000000" w14:paraId="00000017">
      <w:pPr>
        <w:bidi w:val="1"/>
        <w:spacing w:after="0" w:line="480" w:lineRule="auto"/>
        <w:ind w:left="720" w:firstLine="0"/>
        <w:jc w:val="both"/>
        <w:rPr>
          <w:rFonts w:ascii="Simplified Arabic" w:cs="Simplified Arabic" w:eastAsia="Simplified Arabic" w:hAnsi="Simplified Arabic"/>
          <w:color w:val="ff0000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الرصاصة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والقنبلة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والغاز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السام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spacing w:after="0" w:line="480" w:lineRule="auto"/>
        <w:ind w:left="720" w:firstLine="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0" w:line="480" w:lineRule="auto"/>
        <w:ind w:left="720" w:firstLine="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اذكر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ثلاثة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الأساليب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راكيب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غوي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استخدمها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الكاتب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مقالته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spacing w:after="0" w:line="480" w:lineRule="auto"/>
        <w:ind w:left="720" w:firstLine="0"/>
        <w:jc w:val="both"/>
        <w:rPr>
          <w:rFonts w:ascii="Simplified Arabic" w:cs="Simplified Arabic" w:eastAsia="Simplified Arabic" w:hAnsi="Simplified Arabic"/>
          <w:color w:val="ff0000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أسلوب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إنشاء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إستفهام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فإذا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سألته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وماذا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ستفعل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؟ </w:t>
      </w:r>
    </w:p>
    <w:p w:rsidR="00000000" w:rsidDel="00000000" w:rsidP="00000000" w:rsidRDefault="00000000" w:rsidRPr="00000000" w14:paraId="0000001B">
      <w:pPr>
        <w:bidi w:val="1"/>
        <w:spacing w:after="0" w:line="480" w:lineRule="auto"/>
        <w:ind w:left="720" w:firstLine="0"/>
        <w:jc w:val="both"/>
        <w:rPr>
          <w:rFonts w:ascii="Simplified Arabic" w:cs="Simplified Arabic" w:eastAsia="Simplified Arabic" w:hAnsi="Simplified Arabic"/>
          <w:color w:val="ff0000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أسلوب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إنشاء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تعجب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عاد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فابتكر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الأعذار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والمبررات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الجاهزة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للقتل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الص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راع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الط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بقي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وتغيير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الت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اريخ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وإنقاذ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الحري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!</w:t>
      </w:r>
    </w:p>
    <w:p w:rsidR="00000000" w:rsidDel="00000000" w:rsidP="00000000" w:rsidRDefault="00000000" w:rsidRPr="00000000" w14:paraId="0000001C">
      <w:pPr>
        <w:bidi w:val="1"/>
        <w:spacing w:after="0" w:line="480" w:lineRule="auto"/>
        <w:ind w:left="720" w:firstLine="0"/>
        <w:jc w:val="both"/>
        <w:rPr>
          <w:rFonts w:ascii="Simplified Arabic" w:cs="Simplified Arabic" w:eastAsia="Simplified Arabic" w:hAnsi="Simplified Arabic"/>
          <w:color w:val="ff0000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أسلوب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إنشاء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النهي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وسبح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بخياله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حالة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انعدام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وزن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يفك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شيء</w:t>
      </w:r>
    </w:p>
    <w:p w:rsidR="00000000" w:rsidDel="00000000" w:rsidP="00000000" w:rsidRDefault="00000000" w:rsidRPr="00000000" w14:paraId="0000001D">
      <w:pPr>
        <w:bidi w:val="1"/>
        <w:spacing w:after="0" w:line="480" w:lineRule="auto"/>
        <w:ind w:left="720" w:firstLine="0"/>
        <w:jc w:val="both"/>
        <w:rPr>
          <w:rFonts w:ascii="Simplified Arabic" w:cs="Simplified Arabic" w:eastAsia="Simplified Arabic" w:hAnsi="Simplified Arabic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08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08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08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after="0" w:line="480" w:lineRule="auto"/>
        <w:ind w:firstLine="72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firstLine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008" w:top="1296" w:left="1152" w:right="1296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implified Arab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