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00" w:line="276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البرامج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الأجنبية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(9-12)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b="0" l="0" r="0" t="0"/>
            <wp:wrapTopAndBottom distB="0" distT="0"/>
            <wp:docPr descr="NOS-Shmaisani A.png" id="4" name="image3.png"/>
            <a:graphic>
              <a:graphicData uri="http://schemas.openxmlformats.org/drawingml/2006/picture">
                <pic:pic>
                  <pic:nvPicPr>
                    <pic:cNvPr descr="NOS-Shmaisani A.png" id="0" name="image3.png"/>
                    <pic:cNvPicPr preferRelativeResize="0"/>
                  </pic:nvPicPr>
                  <pic:blipFill>
                    <a:blip r:embed="rId7"/>
                    <a:srcRect b="587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spacing w:after="200" w:line="276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إثرائي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 "1"</w:t>
      </w:r>
    </w:p>
    <w:p w:rsidR="00000000" w:rsidDel="00000000" w:rsidP="00000000" w:rsidRDefault="00000000" w:rsidRPr="00000000" w14:paraId="00000003">
      <w:pPr>
        <w:bidi w:val="1"/>
        <w:spacing w:after="200" w:line="276" w:lineRule="auto"/>
        <w:jc w:val="righ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ة</w:t>
      </w:r>
    </w:p>
    <w:p w:rsidR="00000000" w:rsidDel="00000000" w:rsidP="00000000" w:rsidRDefault="00000000" w:rsidRPr="00000000" w14:paraId="00000004">
      <w:pPr>
        <w:bidi w:val="1"/>
        <w:spacing w:after="200" w:line="276" w:lineRule="auto"/>
        <w:jc w:val="righ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(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E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  )</w:t>
      </w:r>
    </w:p>
    <w:p w:rsidR="00000000" w:rsidDel="00000000" w:rsidP="00000000" w:rsidRDefault="00000000" w:rsidRPr="00000000" w14:paraId="00000005">
      <w:pPr>
        <w:bidi w:val="1"/>
        <w:spacing w:after="200" w:line="276" w:lineRule="auto"/>
        <w:jc w:val="righ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الطالب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الزوايدة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               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:------------</w:t>
      </w:r>
    </w:p>
    <w:p w:rsidR="00000000" w:rsidDel="00000000" w:rsidP="00000000" w:rsidRDefault="00000000" w:rsidRPr="00000000" w14:paraId="00000006">
      <w:pPr>
        <w:bidi w:val="1"/>
        <w:spacing w:after="0" w:line="480" w:lineRule="auto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اقرأ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الآتي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أجب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أسئلة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spacing w:after="0" w:line="480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الجنون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العام</w:t>
      </w:r>
    </w:p>
    <w:p w:rsidR="00000000" w:rsidDel="00000000" w:rsidP="00000000" w:rsidRDefault="00000000" w:rsidRPr="00000000" w14:paraId="00000008">
      <w:pPr>
        <w:bidi w:val="1"/>
        <w:spacing w:after="0" w:line="480" w:lineRule="auto"/>
        <w:jc w:val="righ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مصطفى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محمود</w:t>
      </w:r>
    </w:p>
    <w:p w:rsidR="00000000" w:rsidDel="00000000" w:rsidP="00000000" w:rsidRDefault="00000000" w:rsidRPr="00000000" w14:paraId="00000009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أغرب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شرب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يصرف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رجل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عاقل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نقوده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إحراق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المخلفات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واستنشاق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دخانها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الخانق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الكريه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يدخ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ويسعل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ويبصق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يعود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فيبتلع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ويسعل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ويبصق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ويقول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بصوت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أجش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مشروخ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يشكو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برد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مزمن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استبدل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الإنجليزي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ركي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!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-264793</wp:posOffset>
            </wp:positionH>
            <wp:positionV relativeFrom="paragraph">
              <wp:posOffset>372745</wp:posOffset>
            </wp:positionV>
            <wp:extent cx="1905000" cy="2447925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47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-23295</wp:posOffset>
            </wp:positionH>
            <wp:positionV relativeFrom="paragraph">
              <wp:posOffset>3586043</wp:posOffset>
            </wp:positionV>
            <wp:extent cx="6154420" cy="428625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ينفث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حلقات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يحملق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الفراغ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وفمه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مفتوح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وسبح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بخياله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انعدام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وزن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يفك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مشهد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كاريكاتوري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معقول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بلهاء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خمس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دقائق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تبدأ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بشطة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عود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كبريت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حركات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استعراضي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رجل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عجيب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يأخذ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أوضاع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بهلواني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كرسيه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ويسترخي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ويسرح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ويشفط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وينفخ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ويسعل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ويبصق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ونفهم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يدفع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قوته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وقوت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عياله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سبيل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يعود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فيدفع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ليعالج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يعود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فيدفع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ثالثة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لينظ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أسنانه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أوساخ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يروي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قرأ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المجلة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تسبب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دخين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رطان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فحة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قرأ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إعلانات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فوائد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دخين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فإذا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سألته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وماذا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ستفعل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سأستبدل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لفافة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التبغ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بالش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يشة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يشة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بالجوزة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!</w:t>
      </w:r>
    </w:p>
    <w:p w:rsidR="00000000" w:rsidDel="00000000" w:rsidP="00000000" w:rsidRDefault="00000000" w:rsidRPr="00000000" w14:paraId="0000000D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وتراه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يصوم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يستطيع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يصوم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يجارة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وتراه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يستمر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الانتحار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فيلقي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بنقوده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وصح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ويقف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يتفرج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الاثنين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يغرقان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يسعل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ويبصق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ويلهث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رجل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مخبول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تمام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المخبول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ينتحرون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لسبب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مفهوم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</w:t>
      </w:r>
    </w:p>
    <w:p w:rsidR="00000000" w:rsidDel="00000000" w:rsidP="00000000" w:rsidRDefault="00000000" w:rsidRPr="00000000" w14:paraId="0000000E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العملة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تنفق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استيراد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التبغ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والسيجار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والمعسل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كافية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لحل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مشاكل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المجاعة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والفقر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والجهل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والمرض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والإنسان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المجنون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ابتكر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وسائل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انتحار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الأفيون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والحشيش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والكوكايين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والهيرويين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وعقار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الهلوسة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والخمور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بأنواعها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يكتف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فاخترع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أسلحة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القتل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ريع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الأكيد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الرصاصة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والقنبلة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والغاز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فابتكر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الأعذار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والمبررات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الجاهزة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للقتل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راع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وتغيير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اريخ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وإنقاذ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والحري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ذاتها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دائم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المخدر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المدخ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أدخ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ومدمن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المخدرات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يطلق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رصاصة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يطلقها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ليكون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ودائم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جهز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الأسلحة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ودائم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والإنسان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القاتل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والمقتول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الضحية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والجنون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الحقيقة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طابع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العاقل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اللامعقول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...!! </w:t>
      </w:r>
    </w:p>
    <w:p w:rsidR="00000000" w:rsidDel="00000000" w:rsidP="00000000" w:rsidRDefault="00000000" w:rsidRPr="00000000" w14:paraId="00000010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تتجل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خسارة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المدخن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اذكرها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1-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يصوم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يستطيع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يصوم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يجارة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2--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يلقي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بنقوده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وصح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يدفع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قوته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وقوت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عياله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سبيل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وسائل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الانتحار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ابتكرها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فكانت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سببا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والهلاك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؟ </w:t>
      </w:r>
    </w:p>
    <w:p w:rsidR="00000000" w:rsidDel="00000000" w:rsidP="00000000" w:rsidRDefault="00000000" w:rsidRPr="00000000" w14:paraId="00000017">
      <w:pPr>
        <w:bidi w:val="1"/>
        <w:spacing w:after="0" w:line="480" w:lineRule="auto"/>
        <w:ind w:left="720" w:firstLine="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الأفيون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والحشيش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والكوكايين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والهيرويين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وعقار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الهلوسة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والخمور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بأنواعها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يكتف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فاخترع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أسلحة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القتل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ريع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الأكيد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الرصاصة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والقنبلة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والغاز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السام</w:t>
      </w:r>
    </w:p>
    <w:p w:rsidR="00000000" w:rsidDel="00000000" w:rsidP="00000000" w:rsidRDefault="00000000" w:rsidRPr="00000000" w14:paraId="00000018">
      <w:pPr>
        <w:bidi w:val="1"/>
        <w:spacing w:after="0" w:line="480" w:lineRule="auto"/>
        <w:ind w:left="720" w:firstLine="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480" w:lineRule="auto"/>
        <w:ind w:left="720" w:firstLine="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اذكر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ثلاثة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الأساليب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راكيب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غوي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استخدمها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الكاتب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مقالته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after="0" w:line="480" w:lineRule="auto"/>
        <w:ind w:left="720" w:firstLine="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أسلوب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إنشائي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التعجب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طابع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العاقل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اللامعقول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...!! </w:t>
      </w:r>
    </w:p>
    <w:p w:rsidR="00000000" w:rsidDel="00000000" w:rsidP="00000000" w:rsidRDefault="00000000" w:rsidRPr="00000000" w14:paraId="0000001B">
      <w:pPr>
        <w:bidi w:val="1"/>
        <w:spacing w:after="0" w:line="480" w:lineRule="auto"/>
        <w:ind w:left="720" w:firstLine="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أسلوب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إنشائي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يستطيع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يصوم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يجارة</w:t>
      </w:r>
    </w:p>
    <w:p w:rsidR="00000000" w:rsidDel="00000000" w:rsidP="00000000" w:rsidRDefault="00000000" w:rsidRPr="00000000" w14:paraId="0000001C">
      <w:pPr>
        <w:bidi w:val="1"/>
        <w:spacing w:after="0" w:line="480" w:lineRule="auto"/>
        <w:ind w:left="720" w:firstLine="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أسلوب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توكيد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يصرف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رجل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عاقل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نقوده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D">
      <w:pPr>
        <w:bidi w:val="1"/>
        <w:spacing w:after="0" w:line="480" w:lineRule="auto"/>
        <w:ind w:left="720" w:firstLine="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480" w:lineRule="auto"/>
        <w:ind w:left="0" w:firstLine="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48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firstLine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008" w:top="1296" w:left="1152" w:right="1296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plified Arab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CtE1cmp8uQVvFTztnfqb7qIEdA==">AMUW2mXUccdco5XuJCSF+h0r+s6DgDHlwS7ifnv3msA+zeuipl/ex5IxiAgqdvTAzyDFSm7o5r2coGmkd4DHRS8PQi5AoOlQyGjm09cqb5MxOb6piFEoyhjFNJ+FwwwuABQXQLNsqLY9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