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3263" w14:textId="11A7517C" w:rsidR="0055283F" w:rsidRPr="00DC6A44" w:rsidRDefault="00A97A5A" w:rsidP="00DC6A44">
      <w:pPr>
        <w:ind w:left="630"/>
        <w:jc w:val="center"/>
        <w:rPr>
          <w:rFonts w:asciiTheme="majorBidi" w:hAnsiTheme="majorBidi" w:cstheme="majorBidi"/>
          <w:b/>
          <w:bCs/>
          <w:sz w:val="24"/>
          <w:szCs w:val="24"/>
        </w:rPr>
      </w:pPr>
      <w:r w:rsidRPr="00DC6A44">
        <w:rPr>
          <w:rFonts w:asciiTheme="majorBidi" w:hAnsiTheme="majorBidi" w:cstheme="majorBidi"/>
          <w:b/>
          <w:bCs/>
          <w:sz w:val="24"/>
          <w:szCs w:val="24"/>
        </w:rPr>
        <w:t>Business Homework p49</w:t>
      </w:r>
      <w:r w:rsidRPr="00DC6A44">
        <w:rPr>
          <w:rFonts w:asciiTheme="majorBidi" w:hAnsiTheme="majorBidi" w:cstheme="majorBidi"/>
          <w:b/>
          <w:bCs/>
          <w:sz w:val="24"/>
          <w:szCs w:val="24"/>
        </w:rPr>
        <w:tab/>
      </w:r>
    </w:p>
    <w:p w14:paraId="5AEDAE71" w14:textId="6B4A0392" w:rsidR="00A97A5A" w:rsidRPr="00DC6A44" w:rsidRDefault="00A97A5A" w:rsidP="00DC6A44">
      <w:pPr>
        <w:jc w:val="center"/>
        <w:rPr>
          <w:rFonts w:asciiTheme="majorBidi" w:hAnsiTheme="majorBidi" w:cstheme="majorBidi"/>
          <w:b/>
          <w:bCs/>
          <w:sz w:val="24"/>
          <w:szCs w:val="24"/>
        </w:rPr>
      </w:pPr>
    </w:p>
    <w:p w14:paraId="06717255" w14:textId="5781B673" w:rsidR="00A97A5A" w:rsidRPr="00DC6A44" w:rsidRDefault="00A97A5A"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Lebanon has a high level of specialization in Sheep and Goats (86.1), Phosphatic Fertilizers (75.6), Phosphoric Acid (52.2), Pickled Foods (34.6), and Raw Lead (31.2). Specialization is measured using RCA, an index that takes the ratio between Lebanon observed and expected exports in each product</w:t>
      </w:r>
      <w:r w:rsidRPr="00DC6A44">
        <w:rPr>
          <w:rFonts w:asciiTheme="majorBidi" w:hAnsiTheme="majorBidi" w:cstheme="majorBidi"/>
          <w:b/>
          <w:bCs/>
          <w:color w:val="202124"/>
          <w:sz w:val="24"/>
          <w:szCs w:val="24"/>
          <w:shd w:val="clear" w:color="auto" w:fill="FFFFFF"/>
        </w:rPr>
        <w:t>.</w:t>
      </w:r>
    </w:p>
    <w:p w14:paraId="26413425" w14:textId="77777777" w:rsidR="00A97A5A" w:rsidRPr="00DC6A44" w:rsidRDefault="00A97A5A" w:rsidP="00DC6A44">
      <w:pPr>
        <w:pStyle w:val="ListParagraph"/>
        <w:jc w:val="both"/>
        <w:rPr>
          <w:rFonts w:asciiTheme="majorBidi" w:hAnsiTheme="majorBidi" w:cstheme="majorBidi"/>
          <w:b/>
          <w:bCs/>
          <w:sz w:val="24"/>
          <w:szCs w:val="24"/>
        </w:rPr>
      </w:pPr>
    </w:p>
    <w:p w14:paraId="58309039" w14:textId="5ECC4D06" w:rsidR="00A97A5A" w:rsidRPr="00DC6A44" w:rsidRDefault="00A97A5A" w:rsidP="00DC6A44">
      <w:pPr>
        <w:ind w:left="630"/>
        <w:jc w:val="both"/>
        <w:rPr>
          <w:rFonts w:asciiTheme="majorBidi" w:hAnsiTheme="majorBidi" w:cstheme="majorBidi"/>
          <w:b/>
          <w:bCs/>
          <w:sz w:val="24"/>
          <w:szCs w:val="24"/>
        </w:rPr>
      </w:pPr>
      <w:r w:rsidRPr="00DC6A44">
        <w:rPr>
          <w:rFonts w:asciiTheme="majorBidi" w:hAnsiTheme="majorBidi" w:cstheme="majorBidi"/>
          <w:b/>
          <w:bCs/>
          <w:sz w:val="24"/>
          <w:szCs w:val="24"/>
        </w:rPr>
        <w:t xml:space="preserve">Jordan </w:t>
      </w:r>
      <w:r w:rsidRPr="00DC6A44">
        <w:rPr>
          <w:rFonts w:asciiTheme="majorBidi" w:hAnsiTheme="majorBidi" w:cstheme="majorBidi"/>
          <w:b/>
          <w:bCs/>
          <w:sz w:val="24"/>
          <w:szCs w:val="24"/>
        </w:rPr>
        <w:t xml:space="preserve">High Specialization in Medicine and Dentistry Regulations. Health Faculties. Medicine. Pathology. </w:t>
      </w:r>
      <w:r w:rsidRPr="00DC6A44">
        <w:rPr>
          <w:rFonts w:asciiTheme="majorBidi" w:hAnsiTheme="majorBidi" w:cstheme="majorBidi"/>
          <w:b/>
          <w:bCs/>
          <w:sz w:val="24"/>
          <w:szCs w:val="24"/>
        </w:rPr>
        <w:t>H</w:t>
      </w:r>
      <w:r w:rsidRPr="00DC6A44">
        <w:rPr>
          <w:rFonts w:asciiTheme="majorBidi" w:hAnsiTheme="majorBidi" w:cstheme="majorBidi"/>
          <w:b/>
          <w:bCs/>
          <w:sz w:val="24"/>
          <w:szCs w:val="24"/>
        </w:rPr>
        <w:t>istopathology</w:t>
      </w:r>
    </w:p>
    <w:p w14:paraId="5EB3BF63" w14:textId="77777777" w:rsidR="00A97A5A" w:rsidRPr="00DC6A44" w:rsidRDefault="00A97A5A" w:rsidP="00DC6A44">
      <w:pPr>
        <w:pStyle w:val="ListParagraph"/>
        <w:rPr>
          <w:rFonts w:asciiTheme="majorBidi" w:hAnsiTheme="majorBidi" w:cstheme="majorBidi"/>
          <w:b/>
          <w:bCs/>
          <w:sz w:val="24"/>
          <w:szCs w:val="24"/>
        </w:rPr>
      </w:pPr>
    </w:p>
    <w:p w14:paraId="0D6D78CF" w14:textId="66FCF264" w:rsidR="00A97A5A" w:rsidRPr="00DC6A44" w:rsidRDefault="00A97A5A"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 xml:space="preserve">United Arab Emirates has a high level of specialization in Limestone (30.5), Scrap Nickel (23), Sulphur (13.9), Rolled Tobacco (11.4), and </w:t>
      </w:r>
      <w:proofErr w:type="gramStart"/>
      <w:r w:rsidRPr="00DC6A44">
        <w:rPr>
          <w:rFonts w:asciiTheme="majorBidi" w:hAnsiTheme="majorBidi" w:cstheme="majorBidi"/>
          <w:b/>
          <w:bCs/>
          <w:color w:val="202124"/>
          <w:sz w:val="24"/>
          <w:szCs w:val="24"/>
          <w:shd w:val="clear" w:color="auto" w:fill="FFFFFF"/>
        </w:rPr>
        <w:t>Cast Iron</w:t>
      </w:r>
      <w:proofErr w:type="gramEnd"/>
      <w:r w:rsidRPr="00DC6A44">
        <w:rPr>
          <w:rFonts w:asciiTheme="majorBidi" w:hAnsiTheme="majorBidi" w:cstheme="majorBidi"/>
          <w:b/>
          <w:bCs/>
          <w:color w:val="202124"/>
          <w:sz w:val="24"/>
          <w:szCs w:val="24"/>
          <w:shd w:val="clear" w:color="auto" w:fill="FFFFFF"/>
        </w:rPr>
        <w:t xml:space="preserve"> Pipes (8.86). Specialization is measured using RCA, an index that takes the ratio between United Arab Emirates observed and expected exports in each product.</w:t>
      </w:r>
    </w:p>
    <w:p w14:paraId="412C2CCA" w14:textId="77777777" w:rsidR="00A97A5A" w:rsidRPr="00DC6A44" w:rsidRDefault="00A97A5A" w:rsidP="00DC6A44">
      <w:pPr>
        <w:pStyle w:val="ListParagraph"/>
        <w:rPr>
          <w:rFonts w:asciiTheme="majorBidi" w:hAnsiTheme="majorBidi" w:cstheme="majorBidi"/>
          <w:b/>
          <w:bCs/>
          <w:sz w:val="24"/>
          <w:szCs w:val="24"/>
        </w:rPr>
      </w:pPr>
    </w:p>
    <w:p w14:paraId="10EBCD35" w14:textId="2DE8D124" w:rsidR="00A97A5A" w:rsidRPr="00DC6A44" w:rsidRDefault="00586E93" w:rsidP="00DC6A44">
      <w:pPr>
        <w:ind w:left="630"/>
        <w:jc w:val="both"/>
        <w:rPr>
          <w:rFonts w:asciiTheme="majorBidi" w:hAnsiTheme="majorBidi" w:cstheme="majorBidi"/>
          <w:b/>
          <w:bCs/>
          <w:color w:val="202124"/>
          <w:sz w:val="24"/>
          <w:szCs w:val="24"/>
          <w:shd w:val="clear" w:color="auto" w:fill="FFFFFF"/>
        </w:rPr>
      </w:pPr>
      <w:r w:rsidRPr="00DC6A44">
        <w:rPr>
          <w:rFonts w:asciiTheme="majorBidi" w:hAnsiTheme="majorBidi" w:cstheme="majorBidi"/>
          <w:b/>
          <w:bCs/>
          <w:color w:val="202124"/>
          <w:sz w:val="24"/>
          <w:szCs w:val="24"/>
          <w:shd w:val="clear" w:color="auto" w:fill="FFFFFF"/>
        </w:rPr>
        <w:t>Morocco has a high level of specialization in Calcium Phosphates (203), Phosphoric Acid (165), Phosphatic Fertilizers (102), Legumes (85.2), and Mixed Mineral or Chemical Fertilizers (78.9).</w:t>
      </w:r>
      <w:r w:rsidRPr="00DC6A44">
        <w:rPr>
          <w:rFonts w:asciiTheme="majorBidi" w:hAnsiTheme="majorBidi" w:cstheme="majorBidi"/>
          <w:b/>
          <w:bCs/>
          <w:color w:val="202124"/>
          <w:sz w:val="24"/>
          <w:szCs w:val="24"/>
          <w:shd w:val="clear" w:color="auto" w:fill="FFFFFF"/>
        </w:rPr>
        <w:t xml:space="preserve"> </w:t>
      </w:r>
    </w:p>
    <w:p w14:paraId="3D7C122B" w14:textId="77777777" w:rsidR="00586E93" w:rsidRPr="00DC6A44" w:rsidRDefault="00586E93" w:rsidP="00DC6A44">
      <w:pPr>
        <w:pStyle w:val="ListParagraph"/>
        <w:rPr>
          <w:rFonts w:asciiTheme="majorBidi" w:hAnsiTheme="majorBidi" w:cstheme="majorBidi"/>
          <w:b/>
          <w:bCs/>
          <w:sz w:val="24"/>
          <w:szCs w:val="24"/>
        </w:rPr>
      </w:pPr>
    </w:p>
    <w:p w14:paraId="58891E43" w14:textId="78A61E8A" w:rsidR="00586E93" w:rsidRPr="00DC6A44" w:rsidRDefault="00586E93"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 xml:space="preserve">Qatar has a high level of specialization in Sulfuric Acid (43.3), Petroleum Gas (36.3), Sulphur (36), </w:t>
      </w:r>
      <w:proofErr w:type="gramStart"/>
      <w:r w:rsidRPr="00DC6A44">
        <w:rPr>
          <w:rFonts w:asciiTheme="majorBidi" w:hAnsiTheme="majorBidi" w:cstheme="majorBidi"/>
          <w:b/>
          <w:bCs/>
          <w:color w:val="202124"/>
          <w:sz w:val="24"/>
          <w:szCs w:val="24"/>
          <w:shd w:val="clear" w:color="auto" w:fill="FFFFFF"/>
        </w:rPr>
        <w:t>Tug Boats</w:t>
      </w:r>
      <w:proofErr w:type="gramEnd"/>
      <w:r w:rsidRPr="00DC6A44">
        <w:rPr>
          <w:rFonts w:asciiTheme="majorBidi" w:hAnsiTheme="majorBidi" w:cstheme="majorBidi"/>
          <w:b/>
          <w:bCs/>
          <w:color w:val="202124"/>
          <w:sz w:val="24"/>
          <w:szCs w:val="24"/>
          <w:shd w:val="clear" w:color="auto" w:fill="FFFFFF"/>
        </w:rPr>
        <w:t xml:space="preserve"> (25.1), and Hydrogen (23.5). Specialization is measured using RCA, an index that takes the ratio between Qatar observed and expected exports in each product.</w:t>
      </w:r>
      <w:r w:rsidRPr="00DC6A44">
        <w:rPr>
          <w:rFonts w:asciiTheme="majorBidi" w:hAnsiTheme="majorBidi" w:cstheme="majorBidi"/>
          <w:b/>
          <w:bCs/>
          <w:color w:val="202124"/>
          <w:sz w:val="24"/>
          <w:szCs w:val="24"/>
          <w:shd w:val="clear" w:color="auto" w:fill="FFFFFF"/>
        </w:rPr>
        <w:t xml:space="preserve">  </w:t>
      </w:r>
    </w:p>
    <w:p w14:paraId="381C2936" w14:textId="77777777" w:rsidR="00586E93" w:rsidRPr="00DC6A44" w:rsidRDefault="00586E93" w:rsidP="00DC6A44">
      <w:pPr>
        <w:pStyle w:val="ListParagraph"/>
        <w:rPr>
          <w:rFonts w:asciiTheme="majorBidi" w:hAnsiTheme="majorBidi" w:cstheme="majorBidi"/>
          <w:b/>
          <w:bCs/>
          <w:sz w:val="24"/>
          <w:szCs w:val="24"/>
        </w:rPr>
      </w:pPr>
    </w:p>
    <w:p w14:paraId="17EE9D7B" w14:textId="4C4B5314" w:rsidR="00586E93" w:rsidRPr="00DC6A44" w:rsidRDefault="00586E93"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 xml:space="preserve">Kuwait has a high level of specialization in Sulfonated, Nitrated or </w:t>
      </w:r>
      <w:proofErr w:type="spellStart"/>
      <w:r w:rsidRPr="00DC6A44">
        <w:rPr>
          <w:rFonts w:asciiTheme="majorBidi" w:hAnsiTheme="majorBidi" w:cstheme="majorBidi"/>
          <w:b/>
          <w:bCs/>
          <w:color w:val="202124"/>
          <w:sz w:val="24"/>
          <w:szCs w:val="24"/>
          <w:shd w:val="clear" w:color="auto" w:fill="FFFFFF"/>
        </w:rPr>
        <w:t>Nitrosated</w:t>
      </w:r>
      <w:proofErr w:type="spellEnd"/>
      <w:r w:rsidRPr="00DC6A44">
        <w:rPr>
          <w:rFonts w:asciiTheme="majorBidi" w:hAnsiTheme="majorBidi" w:cstheme="majorBidi"/>
          <w:b/>
          <w:bCs/>
          <w:color w:val="202124"/>
          <w:sz w:val="24"/>
          <w:szCs w:val="24"/>
          <w:shd w:val="clear" w:color="auto" w:fill="FFFFFF"/>
        </w:rPr>
        <w:t xml:space="preserve"> Hydrocarbons (150), Crude Petroleum (17.4), Acyclic Alcohols (10.2), Cyclic Hydrocarbons (9.71), and Other Clocks (7.14).</w:t>
      </w:r>
      <w:r w:rsidRPr="00DC6A44">
        <w:rPr>
          <w:rFonts w:asciiTheme="majorBidi" w:hAnsiTheme="majorBidi" w:cstheme="majorBidi"/>
          <w:b/>
          <w:bCs/>
          <w:color w:val="202124"/>
          <w:sz w:val="24"/>
          <w:szCs w:val="24"/>
          <w:shd w:val="clear" w:color="auto" w:fill="FFFFFF"/>
        </w:rPr>
        <w:t xml:space="preserve"> </w:t>
      </w:r>
    </w:p>
    <w:p w14:paraId="3CC122F8" w14:textId="77777777" w:rsidR="00586E93" w:rsidRPr="00DC6A44" w:rsidRDefault="00586E93" w:rsidP="00DC6A44">
      <w:pPr>
        <w:pStyle w:val="ListParagraph"/>
        <w:rPr>
          <w:rFonts w:asciiTheme="majorBidi" w:hAnsiTheme="majorBidi" w:cstheme="majorBidi"/>
          <w:b/>
          <w:bCs/>
          <w:sz w:val="24"/>
          <w:szCs w:val="24"/>
        </w:rPr>
      </w:pPr>
    </w:p>
    <w:p w14:paraId="00BF0F78" w14:textId="08879E7A" w:rsidR="00586E93" w:rsidRPr="00DC6A44" w:rsidRDefault="00586E93"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Its most important exports include petroleum and petroleum products, followed by raw cotton, cotton yarn, and textiles. Raw materials, mineral and chemical products, and capital goods are also exported. Among agricultural exports are rice, onions, garlic, and citrus fruit.</w:t>
      </w:r>
    </w:p>
    <w:p w14:paraId="42D280A7" w14:textId="77777777" w:rsidR="00586E93" w:rsidRPr="00DC6A44" w:rsidRDefault="00586E93" w:rsidP="00DC6A44">
      <w:pPr>
        <w:pStyle w:val="ListParagraph"/>
        <w:rPr>
          <w:rFonts w:asciiTheme="majorBidi" w:hAnsiTheme="majorBidi" w:cstheme="majorBidi"/>
          <w:b/>
          <w:bCs/>
          <w:sz w:val="24"/>
          <w:szCs w:val="24"/>
        </w:rPr>
      </w:pPr>
    </w:p>
    <w:p w14:paraId="55D761DF" w14:textId="407ADAED" w:rsidR="00586E93" w:rsidRPr="00DC6A44" w:rsidRDefault="00586E93" w:rsidP="00DC6A44">
      <w:pPr>
        <w:ind w:left="630"/>
        <w:jc w:val="both"/>
        <w:rPr>
          <w:rFonts w:asciiTheme="majorBidi" w:hAnsiTheme="majorBidi" w:cstheme="majorBidi"/>
          <w:b/>
          <w:bCs/>
          <w:color w:val="000000" w:themeColor="text1"/>
          <w:sz w:val="24"/>
          <w:szCs w:val="24"/>
        </w:rPr>
      </w:pPr>
      <w:r w:rsidRPr="00DC6A44">
        <w:rPr>
          <w:rFonts w:asciiTheme="majorBidi" w:hAnsiTheme="majorBidi" w:cstheme="majorBidi"/>
          <w:b/>
          <w:bCs/>
          <w:color w:val="000000" w:themeColor="text1"/>
          <w:sz w:val="24"/>
          <w:szCs w:val="24"/>
          <w:shd w:val="clear" w:color="auto" w:fill="FFFFFF"/>
        </w:rPr>
        <w:lastRenderedPageBreak/>
        <w:t>The top exports of Libya are </w:t>
      </w:r>
      <w:hyperlink r:id="rId5" w:history="1">
        <w:r w:rsidRPr="00DC6A44">
          <w:rPr>
            <w:rStyle w:val="Hyperlink"/>
            <w:rFonts w:asciiTheme="majorBidi" w:hAnsiTheme="majorBidi" w:cstheme="majorBidi"/>
            <w:b/>
            <w:bCs/>
            <w:color w:val="000000" w:themeColor="text1"/>
            <w:sz w:val="24"/>
            <w:szCs w:val="24"/>
            <w:shd w:val="clear" w:color="auto" w:fill="FFFFFF"/>
          </w:rPr>
          <w:t>Crude Petroleum</w:t>
        </w:r>
      </w:hyperlink>
      <w:r w:rsidRPr="00DC6A44">
        <w:rPr>
          <w:rFonts w:asciiTheme="majorBidi" w:hAnsiTheme="majorBidi" w:cstheme="majorBidi"/>
          <w:b/>
          <w:bCs/>
          <w:color w:val="000000" w:themeColor="text1"/>
          <w:sz w:val="24"/>
          <w:szCs w:val="24"/>
          <w:shd w:val="clear" w:color="auto" w:fill="FFFFFF"/>
        </w:rPr>
        <w:t> ($5.46B), </w:t>
      </w:r>
      <w:hyperlink r:id="rId6" w:history="1">
        <w:r w:rsidRPr="00DC6A44">
          <w:rPr>
            <w:rStyle w:val="Hyperlink"/>
            <w:rFonts w:asciiTheme="majorBidi" w:hAnsiTheme="majorBidi" w:cstheme="majorBidi"/>
            <w:b/>
            <w:bCs/>
            <w:color w:val="000000" w:themeColor="text1"/>
            <w:sz w:val="24"/>
            <w:szCs w:val="24"/>
            <w:shd w:val="clear" w:color="auto" w:fill="FFFFFF"/>
          </w:rPr>
          <w:t>Gold</w:t>
        </w:r>
      </w:hyperlink>
      <w:r w:rsidRPr="00DC6A44">
        <w:rPr>
          <w:rFonts w:asciiTheme="majorBidi" w:hAnsiTheme="majorBidi" w:cstheme="majorBidi"/>
          <w:b/>
          <w:bCs/>
          <w:color w:val="000000" w:themeColor="text1"/>
          <w:sz w:val="24"/>
          <w:szCs w:val="24"/>
          <w:shd w:val="clear" w:color="auto" w:fill="FFFFFF"/>
        </w:rPr>
        <w:t> ($1.65B), </w:t>
      </w:r>
      <w:hyperlink r:id="rId7" w:history="1">
        <w:r w:rsidRPr="00DC6A44">
          <w:rPr>
            <w:rStyle w:val="Hyperlink"/>
            <w:rFonts w:asciiTheme="majorBidi" w:hAnsiTheme="majorBidi" w:cstheme="majorBidi"/>
            <w:b/>
            <w:bCs/>
            <w:color w:val="000000" w:themeColor="text1"/>
            <w:sz w:val="24"/>
            <w:szCs w:val="24"/>
            <w:shd w:val="clear" w:color="auto" w:fill="FFFFFF"/>
          </w:rPr>
          <w:t>Petroleum Gas</w:t>
        </w:r>
      </w:hyperlink>
      <w:r w:rsidRPr="00DC6A44">
        <w:rPr>
          <w:rFonts w:asciiTheme="majorBidi" w:hAnsiTheme="majorBidi" w:cstheme="majorBidi"/>
          <w:b/>
          <w:bCs/>
          <w:color w:val="000000" w:themeColor="text1"/>
          <w:sz w:val="24"/>
          <w:szCs w:val="24"/>
          <w:shd w:val="clear" w:color="auto" w:fill="FFFFFF"/>
        </w:rPr>
        <w:t> ($717M), </w:t>
      </w:r>
      <w:hyperlink r:id="rId8" w:history="1">
        <w:r w:rsidRPr="00DC6A44">
          <w:rPr>
            <w:rStyle w:val="Hyperlink"/>
            <w:rFonts w:asciiTheme="majorBidi" w:hAnsiTheme="majorBidi" w:cstheme="majorBidi"/>
            <w:b/>
            <w:bCs/>
            <w:color w:val="000000" w:themeColor="text1"/>
            <w:sz w:val="24"/>
            <w:szCs w:val="24"/>
            <w:shd w:val="clear" w:color="auto" w:fill="FFFFFF"/>
          </w:rPr>
          <w:t>Scrap Iron</w:t>
        </w:r>
      </w:hyperlink>
      <w:r w:rsidRPr="00DC6A44">
        <w:rPr>
          <w:rFonts w:asciiTheme="majorBidi" w:hAnsiTheme="majorBidi" w:cstheme="majorBidi"/>
          <w:b/>
          <w:bCs/>
          <w:color w:val="000000" w:themeColor="text1"/>
          <w:sz w:val="24"/>
          <w:szCs w:val="24"/>
          <w:shd w:val="clear" w:color="auto" w:fill="FFFFFF"/>
        </w:rPr>
        <w:t> ($104M), and </w:t>
      </w:r>
      <w:hyperlink r:id="rId9" w:history="1">
        <w:r w:rsidRPr="00DC6A44">
          <w:rPr>
            <w:rStyle w:val="Hyperlink"/>
            <w:rFonts w:asciiTheme="majorBidi" w:hAnsiTheme="majorBidi" w:cstheme="majorBidi"/>
            <w:b/>
            <w:bCs/>
            <w:color w:val="000000" w:themeColor="text1"/>
            <w:sz w:val="24"/>
            <w:szCs w:val="24"/>
            <w:shd w:val="clear" w:color="auto" w:fill="FFFFFF"/>
          </w:rPr>
          <w:t>Refined Petroleum</w:t>
        </w:r>
      </w:hyperlink>
      <w:r w:rsidRPr="00DC6A44">
        <w:rPr>
          <w:rFonts w:asciiTheme="majorBidi" w:hAnsiTheme="majorBidi" w:cstheme="majorBidi"/>
          <w:b/>
          <w:bCs/>
          <w:color w:val="000000" w:themeColor="text1"/>
          <w:sz w:val="24"/>
          <w:szCs w:val="24"/>
          <w:shd w:val="clear" w:color="auto" w:fill="FFFFFF"/>
        </w:rPr>
        <w:t> ($98.1M), exporting mostly</w:t>
      </w:r>
      <w:r w:rsidR="00DC6A44">
        <w:rPr>
          <w:rFonts w:asciiTheme="majorBidi" w:hAnsiTheme="majorBidi" w:cstheme="majorBidi"/>
          <w:b/>
          <w:bCs/>
          <w:color w:val="000000" w:themeColor="text1"/>
          <w:sz w:val="24"/>
          <w:szCs w:val="24"/>
          <w:shd w:val="clear" w:color="auto" w:fill="FFFFFF"/>
        </w:rPr>
        <w:t xml:space="preserve"> </w:t>
      </w:r>
      <w:r w:rsidRPr="00DC6A44">
        <w:rPr>
          <w:rFonts w:asciiTheme="majorBidi" w:hAnsiTheme="majorBidi" w:cstheme="majorBidi"/>
          <w:b/>
          <w:bCs/>
          <w:color w:val="000000" w:themeColor="text1"/>
          <w:sz w:val="24"/>
          <w:szCs w:val="24"/>
          <w:shd w:val="clear" w:color="auto" w:fill="FFFFFF"/>
        </w:rPr>
        <w:t>to </w:t>
      </w:r>
      <w:hyperlink r:id="rId10" w:history="1">
        <w:r w:rsidRPr="00DC6A44">
          <w:rPr>
            <w:rStyle w:val="Hyperlink"/>
            <w:rFonts w:asciiTheme="majorBidi" w:hAnsiTheme="majorBidi" w:cstheme="majorBidi"/>
            <w:b/>
            <w:bCs/>
            <w:color w:val="000000" w:themeColor="text1"/>
            <w:sz w:val="24"/>
            <w:szCs w:val="24"/>
            <w:shd w:val="clear" w:color="auto" w:fill="FFFFFF"/>
          </w:rPr>
          <w:t>Italy</w:t>
        </w:r>
      </w:hyperlink>
      <w:r w:rsidRPr="00DC6A44">
        <w:rPr>
          <w:rFonts w:asciiTheme="majorBidi" w:hAnsiTheme="majorBidi" w:cstheme="majorBidi"/>
          <w:b/>
          <w:bCs/>
          <w:color w:val="000000" w:themeColor="text1"/>
          <w:sz w:val="24"/>
          <w:szCs w:val="24"/>
          <w:shd w:val="clear" w:color="auto" w:fill="FFFFFF"/>
        </w:rPr>
        <w:t> ($1.77B), </w:t>
      </w:r>
      <w:hyperlink r:id="rId11" w:history="1">
        <w:r w:rsidRPr="00DC6A44">
          <w:rPr>
            <w:rStyle w:val="Hyperlink"/>
            <w:rFonts w:asciiTheme="majorBidi" w:hAnsiTheme="majorBidi" w:cstheme="majorBidi"/>
            <w:b/>
            <w:bCs/>
            <w:color w:val="000000" w:themeColor="text1"/>
            <w:sz w:val="24"/>
            <w:szCs w:val="24"/>
            <w:shd w:val="clear" w:color="auto" w:fill="FFFFFF"/>
          </w:rPr>
          <w:t>Turkey</w:t>
        </w:r>
      </w:hyperlink>
      <w:r w:rsidRPr="00DC6A44">
        <w:rPr>
          <w:rFonts w:asciiTheme="majorBidi" w:hAnsiTheme="majorBidi" w:cstheme="majorBidi"/>
          <w:b/>
          <w:bCs/>
          <w:color w:val="000000" w:themeColor="text1"/>
          <w:sz w:val="24"/>
          <w:szCs w:val="24"/>
          <w:shd w:val="clear" w:color="auto" w:fill="FFFFFF"/>
        </w:rPr>
        <w:t> ($1.65B), </w:t>
      </w:r>
      <w:hyperlink r:id="rId12" w:history="1">
        <w:r w:rsidRPr="00DC6A44">
          <w:rPr>
            <w:rStyle w:val="Hyperlink"/>
            <w:rFonts w:asciiTheme="majorBidi" w:hAnsiTheme="majorBidi" w:cstheme="majorBidi"/>
            <w:b/>
            <w:bCs/>
            <w:color w:val="000000" w:themeColor="text1"/>
            <w:sz w:val="24"/>
            <w:szCs w:val="24"/>
            <w:shd w:val="clear" w:color="auto" w:fill="FFFFFF"/>
          </w:rPr>
          <w:t>United Arab Emirates</w:t>
        </w:r>
      </w:hyperlink>
      <w:r w:rsidRPr="00DC6A44">
        <w:rPr>
          <w:rFonts w:asciiTheme="majorBidi" w:hAnsiTheme="majorBidi" w:cstheme="majorBidi"/>
          <w:b/>
          <w:bCs/>
          <w:color w:val="000000" w:themeColor="text1"/>
          <w:sz w:val="24"/>
          <w:szCs w:val="24"/>
          <w:shd w:val="clear" w:color="auto" w:fill="FFFFFF"/>
        </w:rPr>
        <w:t> ($887M), </w:t>
      </w:r>
      <w:hyperlink r:id="rId13" w:history="1">
        <w:r w:rsidRPr="00DC6A44">
          <w:rPr>
            <w:rStyle w:val="Hyperlink"/>
            <w:rFonts w:asciiTheme="majorBidi" w:hAnsiTheme="majorBidi" w:cstheme="majorBidi"/>
            <w:b/>
            <w:bCs/>
            <w:color w:val="000000" w:themeColor="text1"/>
            <w:sz w:val="24"/>
            <w:szCs w:val="24"/>
            <w:shd w:val="clear" w:color="auto" w:fill="FFFFFF"/>
          </w:rPr>
          <w:t>Germany</w:t>
        </w:r>
      </w:hyperlink>
      <w:r w:rsidRPr="00DC6A44">
        <w:rPr>
          <w:rFonts w:asciiTheme="majorBidi" w:hAnsiTheme="majorBidi" w:cstheme="majorBidi"/>
          <w:b/>
          <w:bCs/>
          <w:color w:val="000000" w:themeColor="text1"/>
          <w:sz w:val="24"/>
          <w:szCs w:val="24"/>
          <w:shd w:val="clear" w:color="auto" w:fill="FFFFFF"/>
        </w:rPr>
        <w:t> ($768M), and </w:t>
      </w:r>
      <w:hyperlink r:id="rId14" w:history="1">
        <w:r w:rsidRPr="00DC6A44">
          <w:rPr>
            <w:rStyle w:val="Hyperlink"/>
            <w:rFonts w:asciiTheme="majorBidi" w:hAnsiTheme="majorBidi" w:cstheme="majorBidi"/>
            <w:b/>
            <w:bCs/>
            <w:color w:val="000000" w:themeColor="text1"/>
            <w:sz w:val="24"/>
            <w:szCs w:val="24"/>
            <w:shd w:val="clear" w:color="auto" w:fill="FFFFFF"/>
          </w:rPr>
          <w:t>China</w:t>
        </w:r>
      </w:hyperlink>
      <w:r w:rsidRPr="00DC6A44">
        <w:rPr>
          <w:rFonts w:asciiTheme="majorBidi" w:hAnsiTheme="majorBidi" w:cstheme="majorBidi"/>
          <w:b/>
          <w:bCs/>
          <w:color w:val="000000" w:themeColor="text1"/>
          <w:sz w:val="24"/>
          <w:szCs w:val="24"/>
          <w:shd w:val="clear" w:color="auto" w:fill="FFFFFF"/>
        </w:rPr>
        <w:t> ($712M).</w:t>
      </w:r>
    </w:p>
    <w:p w14:paraId="75F47B56" w14:textId="77777777" w:rsidR="00586E93" w:rsidRPr="00DC6A44" w:rsidRDefault="00586E93" w:rsidP="00DC6A44">
      <w:pPr>
        <w:pStyle w:val="ListParagraph"/>
        <w:rPr>
          <w:rFonts w:asciiTheme="majorBidi" w:hAnsiTheme="majorBidi" w:cstheme="majorBidi"/>
          <w:b/>
          <w:bCs/>
          <w:sz w:val="24"/>
          <w:szCs w:val="24"/>
        </w:rPr>
      </w:pPr>
    </w:p>
    <w:p w14:paraId="3ADAC641" w14:textId="6458F7EF" w:rsidR="00586E93" w:rsidRPr="00DC6A44" w:rsidRDefault="00586E93"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Syria is a net exporter of cotton, lentils and chickpeas, and a net importer of sugar.</w:t>
      </w:r>
      <w:r w:rsidRPr="00DC6A44">
        <w:rPr>
          <w:rFonts w:asciiTheme="majorBidi" w:hAnsiTheme="majorBidi" w:cstheme="majorBidi"/>
          <w:b/>
          <w:bCs/>
          <w:color w:val="202124"/>
          <w:sz w:val="24"/>
          <w:szCs w:val="24"/>
          <w:shd w:val="clear" w:color="auto" w:fill="FFFFFF"/>
        </w:rPr>
        <w:t xml:space="preserve"> </w:t>
      </w:r>
    </w:p>
    <w:p w14:paraId="76E8D50E" w14:textId="77777777" w:rsidR="00586E93" w:rsidRPr="00DC6A44" w:rsidRDefault="00586E93" w:rsidP="00DC6A44">
      <w:pPr>
        <w:pStyle w:val="ListParagraph"/>
        <w:rPr>
          <w:rFonts w:asciiTheme="majorBidi" w:hAnsiTheme="majorBidi" w:cstheme="majorBidi"/>
          <w:b/>
          <w:bCs/>
          <w:sz w:val="24"/>
          <w:szCs w:val="24"/>
        </w:rPr>
      </w:pPr>
    </w:p>
    <w:p w14:paraId="442C69EF" w14:textId="41B09A00" w:rsidR="00586E93" w:rsidRPr="00DC6A44" w:rsidRDefault="00586E93"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Exports The top exports of Comoros are Cloves ($21.3M), Recreational Boats ($11.8M), Essential Oils ($8.79M), Vanilla ($8.24M), and Scrap Vessels ($3.92M), exporting mostly to India ($15.6M), Greece ($13.3M), France ($7.17M), Germany ($5.43M), and Turkey ($4.07M).</w:t>
      </w:r>
    </w:p>
    <w:p w14:paraId="3166146B" w14:textId="77777777" w:rsidR="00586E93" w:rsidRPr="00DC6A44" w:rsidRDefault="00586E93" w:rsidP="00DC6A44">
      <w:pPr>
        <w:pStyle w:val="ListParagraph"/>
        <w:rPr>
          <w:rFonts w:asciiTheme="majorBidi" w:hAnsiTheme="majorBidi" w:cstheme="majorBidi"/>
          <w:b/>
          <w:bCs/>
          <w:sz w:val="24"/>
          <w:szCs w:val="24"/>
        </w:rPr>
      </w:pPr>
    </w:p>
    <w:p w14:paraId="2F10C519" w14:textId="6F85644E" w:rsidR="00586E93" w:rsidRPr="00DC6A44" w:rsidRDefault="00C664E9" w:rsidP="00DC6A44">
      <w:pPr>
        <w:ind w:left="630"/>
        <w:jc w:val="both"/>
        <w:rPr>
          <w:rFonts w:asciiTheme="majorBidi" w:hAnsiTheme="majorBidi" w:cstheme="majorBidi"/>
          <w:b/>
          <w:bCs/>
          <w:sz w:val="24"/>
          <w:szCs w:val="24"/>
        </w:rPr>
      </w:pPr>
      <w:r w:rsidRPr="00DC6A44">
        <w:rPr>
          <w:rFonts w:asciiTheme="majorBidi" w:hAnsiTheme="majorBidi" w:cstheme="majorBidi"/>
          <w:b/>
          <w:bCs/>
          <w:color w:val="4D5156"/>
          <w:sz w:val="24"/>
          <w:szCs w:val="24"/>
          <w:shd w:val="clear" w:color="auto" w:fill="FFFFFF"/>
        </w:rPr>
        <w:t>Sudan has a high level of specialization in </w:t>
      </w:r>
      <w:r w:rsidRPr="00DC6A44">
        <w:rPr>
          <w:rStyle w:val="Emphasis"/>
          <w:rFonts w:asciiTheme="majorBidi" w:hAnsiTheme="majorBidi" w:cstheme="majorBidi"/>
          <w:b/>
          <w:bCs/>
          <w:i w:val="0"/>
          <w:iCs w:val="0"/>
          <w:color w:val="5F6368"/>
          <w:sz w:val="24"/>
          <w:szCs w:val="24"/>
          <w:shd w:val="clear" w:color="auto" w:fill="FFFFFF"/>
        </w:rPr>
        <w:t>Other Oily Seeds (545</w:t>
      </w:r>
      <w:r w:rsidRPr="00DC6A44">
        <w:rPr>
          <w:rFonts w:asciiTheme="majorBidi" w:hAnsiTheme="majorBidi" w:cstheme="majorBidi"/>
          <w:b/>
          <w:bCs/>
          <w:color w:val="4D5156"/>
          <w:sz w:val="24"/>
          <w:szCs w:val="24"/>
          <w:shd w:val="clear" w:color="auto" w:fill="FFFFFF"/>
        </w:rPr>
        <w:t>), Insect Resins (523), Sheep and Goats (405), Ground Nuts (312), and Ground Nut Oil (306).</w:t>
      </w:r>
    </w:p>
    <w:p w14:paraId="43CBD3AD" w14:textId="77777777" w:rsidR="00C664E9" w:rsidRPr="00DC6A44" w:rsidRDefault="00C664E9" w:rsidP="00DC6A44">
      <w:pPr>
        <w:pStyle w:val="ListParagraph"/>
        <w:rPr>
          <w:rFonts w:asciiTheme="majorBidi" w:hAnsiTheme="majorBidi" w:cstheme="majorBidi"/>
          <w:b/>
          <w:bCs/>
          <w:sz w:val="24"/>
          <w:szCs w:val="24"/>
        </w:rPr>
      </w:pPr>
    </w:p>
    <w:p w14:paraId="6B66049C" w14:textId="00594650" w:rsidR="00C664E9" w:rsidRPr="00DC6A44" w:rsidRDefault="00C664E9"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 xml:space="preserve">Today Oman is rich in oil with their economy still dependent on oil exports. Tourism is growing </w:t>
      </w:r>
      <w:proofErr w:type="gramStart"/>
      <w:r w:rsidRPr="00DC6A44">
        <w:rPr>
          <w:rFonts w:asciiTheme="majorBidi" w:hAnsiTheme="majorBidi" w:cstheme="majorBidi"/>
          <w:b/>
          <w:bCs/>
          <w:color w:val="202124"/>
          <w:sz w:val="24"/>
          <w:szCs w:val="24"/>
          <w:shd w:val="clear" w:color="auto" w:fill="FFFFFF"/>
        </w:rPr>
        <w:t>fast</w:t>
      </w:r>
      <w:proofErr w:type="gramEnd"/>
      <w:r w:rsidRPr="00DC6A44">
        <w:rPr>
          <w:rFonts w:asciiTheme="majorBidi" w:hAnsiTheme="majorBidi" w:cstheme="majorBidi"/>
          <w:b/>
          <w:bCs/>
          <w:color w:val="202124"/>
          <w:sz w:val="24"/>
          <w:szCs w:val="24"/>
          <w:shd w:val="clear" w:color="auto" w:fill="FFFFFF"/>
        </w:rPr>
        <w:t xml:space="preserve"> and it is hoped that it will become one of the largest industries in the country.</w:t>
      </w:r>
    </w:p>
    <w:p w14:paraId="06895F9A" w14:textId="77777777" w:rsidR="00C664E9" w:rsidRPr="00DC6A44" w:rsidRDefault="00C664E9" w:rsidP="00DC6A44">
      <w:pPr>
        <w:pStyle w:val="ListParagraph"/>
        <w:rPr>
          <w:rFonts w:asciiTheme="majorBidi" w:hAnsiTheme="majorBidi" w:cstheme="majorBidi"/>
          <w:b/>
          <w:bCs/>
          <w:sz w:val="24"/>
          <w:szCs w:val="24"/>
        </w:rPr>
      </w:pPr>
    </w:p>
    <w:p w14:paraId="7BEB2222" w14:textId="179A79E8" w:rsidR="00C664E9" w:rsidRPr="00DC6A44" w:rsidRDefault="00C664E9"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 xml:space="preserve">The economy of Bahrain is heavily dependent upon oil and gas. The Bahraini Dinar is the </w:t>
      </w:r>
      <w:proofErr w:type="gramStart"/>
      <w:r w:rsidRPr="00DC6A44">
        <w:rPr>
          <w:rFonts w:asciiTheme="majorBidi" w:hAnsiTheme="majorBidi" w:cstheme="majorBidi"/>
          <w:b/>
          <w:bCs/>
          <w:color w:val="202124"/>
          <w:sz w:val="24"/>
          <w:szCs w:val="24"/>
          <w:shd w:val="clear" w:color="auto" w:fill="FFFFFF"/>
        </w:rPr>
        <w:t>second-highest</w:t>
      </w:r>
      <w:proofErr w:type="gramEnd"/>
      <w:r w:rsidRPr="00DC6A44">
        <w:rPr>
          <w:rFonts w:asciiTheme="majorBidi" w:hAnsiTheme="majorBidi" w:cstheme="majorBidi"/>
          <w:b/>
          <w:bCs/>
          <w:color w:val="202124"/>
          <w:sz w:val="24"/>
          <w:szCs w:val="24"/>
          <w:shd w:val="clear" w:color="auto" w:fill="FFFFFF"/>
        </w:rPr>
        <w:t>-valued currency unit in the world. Since the late 20th century, Bahrain has heavily invested in the banking and tourism sectors.</w:t>
      </w:r>
    </w:p>
    <w:p w14:paraId="66142495" w14:textId="77777777" w:rsidR="00C664E9" w:rsidRPr="00DC6A44" w:rsidRDefault="00C664E9" w:rsidP="00DC6A44">
      <w:pPr>
        <w:pStyle w:val="ListParagraph"/>
        <w:rPr>
          <w:rFonts w:asciiTheme="majorBidi" w:hAnsiTheme="majorBidi" w:cstheme="majorBidi"/>
          <w:b/>
          <w:bCs/>
          <w:sz w:val="24"/>
          <w:szCs w:val="24"/>
        </w:rPr>
      </w:pPr>
    </w:p>
    <w:p w14:paraId="1C438A0F" w14:textId="1575D737" w:rsidR="00C664E9" w:rsidRPr="00DC6A44" w:rsidRDefault="00C664E9"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 xml:space="preserve">Iraq has a high level of specialization in Crude Petroleum (20.3), Petroleum Coke (8.11), Gold (5.43), Refined Petroleum (2.71), and Alkylbenzenes and </w:t>
      </w:r>
      <w:proofErr w:type="spellStart"/>
      <w:r w:rsidRPr="00DC6A44">
        <w:rPr>
          <w:rFonts w:asciiTheme="majorBidi" w:hAnsiTheme="majorBidi" w:cstheme="majorBidi"/>
          <w:b/>
          <w:bCs/>
          <w:color w:val="202124"/>
          <w:sz w:val="24"/>
          <w:szCs w:val="24"/>
          <w:shd w:val="clear" w:color="auto" w:fill="FFFFFF"/>
        </w:rPr>
        <w:t>Alkylnaphthalenes</w:t>
      </w:r>
      <w:proofErr w:type="spellEnd"/>
      <w:r w:rsidRPr="00DC6A44">
        <w:rPr>
          <w:rFonts w:asciiTheme="majorBidi" w:hAnsiTheme="majorBidi" w:cstheme="majorBidi"/>
          <w:b/>
          <w:bCs/>
          <w:color w:val="202124"/>
          <w:sz w:val="24"/>
          <w:szCs w:val="24"/>
          <w:shd w:val="clear" w:color="auto" w:fill="FFFFFF"/>
        </w:rPr>
        <w:t xml:space="preserve"> (2.07). Specialization is measured using RCA, an index that takes the ratio between Iraq observed and expected exports in each product.</w:t>
      </w:r>
      <w:r w:rsidRPr="00DC6A44">
        <w:rPr>
          <w:rFonts w:asciiTheme="majorBidi" w:hAnsiTheme="majorBidi" w:cstheme="majorBidi"/>
          <w:b/>
          <w:bCs/>
          <w:color w:val="202124"/>
          <w:sz w:val="24"/>
          <w:szCs w:val="24"/>
          <w:shd w:val="clear" w:color="auto" w:fill="FFFFFF"/>
        </w:rPr>
        <w:t xml:space="preserve"> </w:t>
      </w:r>
    </w:p>
    <w:p w14:paraId="53FC656B" w14:textId="77777777" w:rsidR="00C664E9" w:rsidRPr="00DC6A44" w:rsidRDefault="00C664E9" w:rsidP="00DC6A44">
      <w:pPr>
        <w:pStyle w:val="ListParagraph"/>
        <w:rPr>
          <w:rFonts w:asciiTheme="majorBidi" w:hAnsiTheme="majorBidi" w:cstheme="majorBidi"/>
          <w:b/>
          <w:bCs/>
          <w:sz w:val="24"/>
          <w:szCs w:val="24"/>
        </w:rPr>
      </w:pPr>
    </w:p>
    <w:p w14:paraId="64CE28B4" w14:textId="23CBE30E" w:rsidR="00C664E9" w:rsidRPr="00DC6A44" w:rsidRDefault="00C664E9"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t xml:space="preserve">Yemen has a high level of specialization in Honey (99.2), Bran (95.8), Other Vegetable Products (51), </w:t>
      </w:r>
      <w:proofErr w:type="spellStart"/>
      <w:r w:rsidRPr="00DC6A44">
        <w:rPr>
          <w:rFonts w:asciiTheme="majorBidi" w:hAnsiTheme="majorBidi" w:cstheme="majorBidi"/>
          <w:b/>
          <w:bCs/>
          <w:color w:val="202124"/>
          <w:sz w:val="24"/>
          <w:szCs w:val="24"/>
          <w:shd w:val="clear" w:color="auto" w:fill="FFFFFF"/>
        </w:rPr>
        <w:t>Molluscs</w:t>
      </w:r>
      <w:proofErr w:type="spellEnd"/>
      <w:r w:rsidRPr="00DC6A44">
        <w:rPr>
          <w:rFonts w:asciiTheme="majorBidi" w:hAnsiTheme="majorBidi" w:cstheme="majorBidi"/>
          <w:b/>
          <w:bCs/>
          <w:color w:val="202124"/>
          <w:sz w:val="24"/>
          <w:szCs w:val="24"/>
          <w:shd w:val="clear" w:color="auto" w:fill="FFFFFF"/>
        </w:rPr>
        <w:t xml:space="preserve"> (45.5), and Onions (42.5). Specialization is measured using RCA, an index that takes the ratio between Yemen observed and expected exports in each product.</w:t>
      </w:r>
      <w:r w:rsidRPr="00DC6A44">
        <w:rPr>
          <w:rFonts w:asciiTheme="majorBidi" w:hAnsiTheme="majorBidi" w:cstheme="majorBidi"/>
          <w:b/>
          <w:bCs/>
          <w:color w:val="202124"/>
          <w:sz w:val="24"/>
          <w:szCs w:val="24"/>
          <w:shd w:val="clear" w:color="auto" w:fill="FFFFFF"/>
        </w:rPr>
        <w:t xml:space="preserve"> </w:t>
      </w:r>
    </w:p>
    <w:p w14:paraId="24CF2AF0" w14:textId="77777777" w:rsidR="00C664E9" w:rsidRPr="00DC6A44" w:rsidRDefault="00C664E9" w:rsidP="00DC6A44">
      <w:pPr>
        <w:pStyle w:val="ListParagraph"/>
        <w:rPr>
          <w:rFonts w:asciiTheme="majorBidi" w:hAnsiTheme="majorBidi" w:cstheme="majorBidi"/>
          <w:b/>
          <w:bCs/>
          <w:sz w:val="24"/>
          <w:szCs w:val="24"/>
        </w:rPr>
      </w:pPr>
    </w:p>
    <w:p w14:paraId="00136915" w14:textId="6EF5F7FC" w:rsidR="00C664E9" w:rsidRPr="00DC6A44" w:rsidRDefault="00C664E9" w:rsidP="00DC6A44">
      <w:pPr>
        <w:ind w:left="630"/>
        <w:jc w:val="both"/>
        <w:rPr>
          <w:rFonts w:asciiTheme="majorBidi" w:hAnsiTheme="majorBidi" w:cstheme="majorBidi"/>
          <w:b/>
          <w:bCs/>
          <w:sz w:val="24"/>
          <w:szCs w:val="24"/>
        </w:rPr>
      </w:pPr>
      <w:r w:rsidRPr="00DC6A44">
        <w:rPr>
          <w:rFonts w:asciiTheme="majorBidi" w:hAnsiTheme="majorBidi" w:cstheme="majorBidi"/>
          <w:b/>
          <w:bCs/>
          <w:color w:val="202124"/>
          <w:sz w:val="24"/>
          <w:szCs w:val="24"/>
          <w:shd w:val="clear" w:color="auto" w:fill="FFFFFF"/>
        </w:rPr>
        <w:lastRenderedPageBreak/>
        <w:t>Algeria has a high level of specialization in Nitrogenous Fertilizers (31.9), Petroleum Gas (28.6), Ammonia (28.3), Calcium Phosphates (17.2), and Hydrogen (15.9). Specialization is measured using RCA, an index that takes the ratio between Algeria observed and expected exports in each produc</w:t>
      </w:r>
      <w:r w:rsidRPr="00DC6A44">
        <w:rPr>
          <w:rFonts w:asciiTheme="majorBidi" w:hAnsiTheme="majorBidi" w:cstheme="majorBidi"/>
          <w:b/>
          <w:bCs/>
          <w:color w:val="202124"/>
          <w:sz w:val="24"/>
          <w:szCs w:val="24"/>
          <w:shd w:val="clear" w:color="auto" w:fill="FFFFFF"/>
        </w:rPr>
        <w:t>t.</w:t>
      </w:r>
    </w:p>
    <w:p w14:paraId="014C0870" w14:textId="77777777" w:rsidR="00C664E9" w:rsidRPr="00DC6A44" w:rsidRDefault="00C664E9" w:rsidP="00DC6A44">
      <w:pPr>
        <w:pStyle w:val="ListParagraph"/>
        <w:rPr>
          <w:rFonts w:asciiTheme="majorBidi" w:hAnsiTheme="majorBidi" w:cstheme="majorBidi"/>
          <w:b/>
          <w:bCs/>
          <w:sz w:val="24"/>
          <w:szCs w:val="24"/>
        </w:rPr>
      </w:pPr>
    </w:p>
    <w:p w14:paraId="6D3765DF" w14:textId="6410D824" w:rsidR="00C664E9" w:rsidRPr="00DC6A44" w:rsidRDefault="00C664E9" w:rsidP="00DC6A44">
      <w:pPr>
        <w:shd w:val="clear" w:color="auto" w:fill="FFFFFF"/>
        <w:spacing w:after="0" w:line="240" w:lineRule="auto"/>
        <w:ind w:left="630"/>
        <w:rPr>
          <w:rFonts w:asciiTheme="majorBidi" w:eastAsia="Times New Roman" w:hAnsiTheme="majorBidi" w:cstheme="majorBidi"/>
          <w:b/>
          <w:bCs/>
          <w:color w:val="202124"/>
          <w:sz w:val="24"/>
          <w:szCs w:val="24"/>
          <w:lang/>
        </w:rPr>
      </w:pPr>
      <w:r w:rsidRPr="00DC6A44">
        <w:rPr>
          <w:rFonts w:asciiTheme="majorBidi" w:eastAsia="Times New Roman" w:hAnsiTheme="majorBidi" w:cstheme="majorBidi"/>
          <w:b/>
          <w:bCs/>
          <w:color w:val="202124"/>
          <w:sz w:val="24"/>
          <w:szCs w:val="24"/>
          <w:lang w:val="en"/>
        </w:rPr>
        <w:t xml:space="preserve">Mauritania has a high level of specialization in Fish oil (200), Iron Oxides and Hydroxides (138), Animal Meal and Pellets (104), </w:t>
      </w:r>
      <w:proofErr w:type="spellStart"/>
      <w:r w:rsidRPr="00DC6A44">
        <w:rPr>
          <w:rFonts w:asciiTheme="majorBidi" w:eastAsia="Times New Roman" w:hAnsiTheme="majorBidi" w:cstheme="majorBidi"/>
          <w:b/>
          <w:bCs/>
          <w:color w:val="202124"/>
          <w:sz w:val="24"/>
          <w:szCs w:val="24"/>
          <w:lang w:val="en"/>
        </w:rPr>
        <w:t>Molluscs</w:t>
      </w:r>
      <w:proofErr w:type="spellEnd"/>
      <w:r w:rsidRPr="00DC6A44">
        <w:rPr>
          <w:rFonts w:asciiTheme="majorBidi" w:eastAsia="Times New Roman" w:hAnsiTheme="majorBidi" w:cstheme="majorBidi"/>
          <w:b/>
          <w:bCs/>
          <w:color w:val="202124"/>
          <w:sz w:val="24"/>
          <w:szCs w:val="24"/>
          <w:lang w:val="en"/>
        </w:rPr>
        <w:t xml:space="preserve"> (83.5), and Non-fillet Frozen Fish (82). Specialization is measured using RCA, an index that takes the ratio between Mauritania observed and expected exports in each product.</w:t>
      </w:r>
    </w:p>
    <w:p w14:paraId="523F9E4E" w14:textId="77777777" w:rsidR="00C664E9" w:rsidRPr="00DC6A44" w:rsidRDefault="00C664E9" w:rsidP="00DC6A44">
      <w:pPr>
        <w:pStyle w:val="ListParagraph"/>
        <w:rPr>
          <w:rFonts w:asciiTheme="majorBidi" w:eastAsia="Times New Roman" w:hAnsiTheme="majorBidi" w:cstheme="majorBidi"/>
          <w:b/>
          <w:bCs/>
          <w:color w:val="202124"/>
          <w:sz w:val="24"/>
          <w:szCs w:val="24"/>
          <w:lang/>
        </w:rPr>
      </w:pPr>
    </w:p>
    <w:p w14:paraId="7540CE84" w14:textId="77777777" w:rsidR="00C664E9" w:rsidRPr="00DC6A44" w:rsidRDefault="00C664E9" w:rsidP="00DC6A44">
      <w:pPr>
        <w:shd w:val="clear" w:color="auto" w:fill="FFFFFF"/>
        <w:spacing w:after="0" w:line="240" w:lineRule="auto"/>
        <w:rPr>
          <w:rFonts w:asciiTheme="majorBidi" w:eastAsia="Times New Roman" w:hAnsiTheme="majorBidi" w:cstheme="majorBidi"/>
          <w:b/>
          <w:bCs/>
          <w:color w:val="202124"/>
          <w:sz w:val="24"/>
          <w:szCs w:val="24"/>
          <w:lang/>
        </w:rPr>
      </w:pPr>
    </w:p>
    <w:sectPr w:rsidR="00C664E9" w:rsidRPr="00DC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CFF"/>
    <w:multiLevelType w:val="hybridMultilevel"/>
    <w:tmpl w:val="BCBAC108"/>
    <w:lvl w:ilvl="0" w:tplc="9006B9B6">
      <w:start w:val="1"/>
      <w:numFmt w:val="decimal"/>
      <w:lvlText w:val="%1."/>
      <w:lvlJc w:val="left"/>
      <w:pPr>
        <w:ind w:left="99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311E7"/>
    <w:multiLevelType w:val="hybridMultilevel"/>
    <w:tmpl w:val="A7CE2862"/>
    <w:lvl w:ilvl="0" w:tplc="9006B9B6">
      <w:start w:val="1"/>
      <w:numFmt w:val="decimal"/>
      <w:lvlText w:val="%1."/>
      <w:lvlJc w:val="left"/>
      <w:pPr>
        <w:ind w:left="99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832024">
    <w:abstractNumId w:val="1"/>
  </w:num>
  <w:num w:numId="2" w16cid:durableId="114473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5A"/>
    <w:rsid w:val="0055283F"/>
    <w:rsid w:val="00586E93"/>
    <w:rsid w:val="00A97A5A"/>
    <w:rsid w:val="00C664E9"/>
    <w:rsid w:val="00C74F0D"/>
    <w:rsid w:val="00DC6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F07D"/>
  <w15:chartTrackingRefBased/>
  <w15:docId w15:val="{5E972744-3B90-49AF-AA74-BFC9BE47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A5A"/>
    <w:pPr>
      <w:ind w:left="720"/>
      <w:contextualSpacing/>
    </w:pPr>
  </w:style>
  <w:style w:type="character" w:styleId="Emphasis">
    <w:name w:val="Emphasis"/>
    <w:basedOn w:val="DefaultParagraphFont"/>
    <w:uiPriority w:val="20"/>
    <w:qFormat/>
    <w:rsid w:val="00A97A5A"/>
    <w:rPr>
      <w:i/>
      <w:iCs/>
    </w:rPr>
  </w:style>
  <w:style w:type="character" w:styleId="Hyperlink">
    <w:name w:val="Hyperlink"/>
    <w:basedOn w:val="DefaultParagraphFont"/>
    <w:uiPriority w:val="99"/>
    <w:semiHidden/>
    <w:unhideWhenUsed/>
    <w:rsid w:val="00586E93"/>
    <w:rPr>
      <w:color w:val="0000FF"/>
      <w:u w:val="single"/>
    </w:rPr>
  </w:style>
  <w:style w:type="character" w:customStyle="1" w:styleId="hgkelc">
    <w:name w:val="hgkelc"/>
    <w:basedOn w:val="DefaultParagraphFont"/>
    <w:rsid w:val="00C6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20495">
      <w:bodyDiv w:val="1"/>
      <w:marLeft w:val="0"/>
      <w:marRight w:val="0"/>
      <w:marTop w:val="0"/>
      <w:marBottom w:val="0"/>
      <w:divBdr>
        <w:top w:val="none" w:sz="0" w:space="0" w:color="auto"/>
        <w:left w:val="none" w:sz="0" w:space="0" w:color="auto"/>
        <w:bottom w:val="none" w:sz="0" w:space="0" w:color="auto"/>
        <w:right w:val="none" w:sz="0" w:space="0" w:color="auto"/>
      </w:divBdr>
      <w:divsChild>
        <w:div w:id="1644657125">
          <w:marLeft w:val="0"/>
          <w:marRight w:val="0"/>
          <w:marTop w:val="0"/>
          <w:marBottom w:val="0"/>
          <w:divBdr>
            <w:top w:val="none" w:sz="0" w:space="0" w:color="auto"/>
            <w:left w:val="none" w:sz="0" w:space="0" w:color="auto"/>
            <w:bottom w:val="none" w:sz="0" w:space="0" w:color="auto"/>
            <w:right w:val="none" w:sz="0" w:space="0" w:color="auto"/>
          </w:divBdr>
        </w:div>
      </w:divsChild>
    </w:div>
    <w:div w:id="1492140876">
      <w:bodyDiv w:val="1"/>
      <w:marLeft w:val="0"/>
      <w:marRight w:val="0"/>
      <w:marTop w:val="0"/>
      <w:marBottom w:val="0"/>
      <w:divBdr>
        <w:top w:val="none" w:sz="0" w:space="0" w:color="auto"/>
        <w:left w:val="none" w:sz="0" w:space="0" w:color="auto"/>
        <w:bottom w:val="none" w:sz="0" w:space="0" w:color="auto"/>
        <w:right w:val="none" w:sz="0" w:space="0" w:color="auto"/>
      </w:divBdr>
      <w:divsChild>
        <w:div w:id="1819762059">
          <w:marLeft w:val="0"/>
          <w:marRight w:val="0"/>
          <w:marTop w:val="0"/>
          <w:marBottom w:val="0"/>
          <w:divBdr>
            <w:top w:val="none" w:sz="0" w:space="0" w:color="auto"/>
            <w:left w:val="none" w:sz="0" w:space="0" w:color="auto"/>
            <w:bottom w:val="none" w:sz="0" w:space="0" w:color="auto"/>
            <w:right w:val="none" w:sz="0" w:space="0" w:color="auto"/>
          </w:divBdr>
        </w:div>
      </w:divsChild>
    </w:div>
    <w:div w:id="1747144951">
      <w:bodyDiv w:val="1"/>
      <w:marLeft w:val="0"/>
      <w:marRight w:val="0"/>
      <w:marTop w:val="0"/>
      <w:marBottom w:val="0"/>
      <w:divBdr>
        <w:top w:val="none" w:sz="0" w:space="0" w:color="auto"/>
        <w:left w:val="none" w:sz="0" w:space="0" w:color="auto"/>
        <w:bottom w:val="none" w:sz="0" w:space="0" w:color="auto"/>
        <w:right w:val="none" w:sz="0" w:space="0" w:color="auto"/>
      </w:divBdr>
      <w:divsChild>
        <w:div w:id="18698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c.world/en/profile/bilateral-product/scrap-iron/reporter/lby" TargetMode="External"/><Relationship Id="rId13" Type="http://schemas.openxmlformats.org/officeDocument/2006/relationships/hyperlink" Target="https://oec.world/en/profile/bilateral-country/deu/partner/lby" TargetMode="External"/><Relationship Id="rId3" Type="http://schemas.openxmlformats.org/officeDocument/2006/relationships/settings" Target="settings.xml"/><Relationship Id="rId7" Type="http://schemas.openxmlformats.org/officeDocument/2006/relationships/hyperlink" Target="https://oec.world/en/profile/bilateral-product/petroleum-gas/reporter/lby" TargetMode="External"/><Relationship Id="rId12" Type="http://schemas.openxmlformats.org/officeDocument/2006/relationships/hyperlink" Target="https://oec.world/en/profile/bilateral-country/are/partner/l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ec.world/en/profile/bilateral-product/gold/reporter/lby" TargetMode="External"/><Relationship Id="rId11" Type="http://schemas.openxmlformats.org/officeDocument/2006/relationships/hyperlink" Target="https://oec.world/en/profile/bilateral-country/tur/partner/lby" TargetMode="External"/><Relationship Id="rId5" Type="http://schemas.openxmlformats.org/officeDocument/2006/relationships/hyperlink" Target="https://oec.world/en/profile/bilateral-product/crude-petroleum/reporter/lby" TargetMode="External"/><Relationship Id="rId15" Type="http://schemas.openxmlformats.org/officeDocument/2006/relationships/fontTable" Target="fontTable.xml"/><Relationship Id="rId10" Type="http://schemas.openxmlformats.org/officeDocument/2006/relationships/hyperlink" Target="https://oec.world/en/profile/bilateral-country/ita/partner/lby" TargetMode="External"/><Relationship Id="rId4" Type="http://schemas.openxmlformats.org/officeDocument/2006/relationships/webSettings" Target="webSettings.xml"/><Relationship Id="rId9" Type="http://schemas.openxmlformats.org/officeDocument/2006/relationships/hyperlink" Target="https://oec.world/en/profile/bilateral-product/refined-petroleum/reporter/lby" TargetMode="External"/><Relationship Id="rId14" Type="http://schemas.openxmlformats.org/officeDocument/2006/relationships/hyperlink" Target="https://oec.world/en/profile/bilateral-country/chn/partner/l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ShamsMaanAdmin</dc:creator>
  <cp:keywords/>
  <dc:description/>
  <cp:lastModifiedBy>ShamsMaanAdmin</cp:lastModifiedBy>
  <cp:revision>1</cp:revision>
  <dcterms:created xsi:type="dcterms:W3CDTF">2022-11-05T18:14:00Z</dcterms:created>
  <dcterms:modified xsi:type="dcterms:W3CDTF">2022-11-05T18:58:00Z</dcterms:modified>
</cp:coreProperties>
</file>